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Acoustic Engineer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an acoustic engineer with experience across building services, transport infrastructure and environmental noise assessment. I specialise in measurement, modelling and noise control design, and I prepare reports that support planning approvals and compliance with Australian standards.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Acoustic measurement and field testing   •   Noise and vibration modelling (SoundPLAN, CadnaA)   •   Room acoustics simulation (Odeon)   •   Building acoustics design (INSUL)   •   Data analysis and signal processing (MATLAB)   •   Noise control treatment design   •   Regulatory compliance and acoustic reporting   •   CAD and technical drawing   •   Project management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Acoustic Engineer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environmental noise monitoring for a 120-lot residential subdivision, producing a compliance report that satisfied council conditions.</w:t>
      </w:r>
    </w:p>
    <w:p>
      <w:pPr>
        <w:pStyle w:val="ListBullet"/>
        <w:spacing w:after="80" w:line="276" w:lineRule="auto"/>
      </w:pPr>
      <w:r>
        <w:t>Modelled road traffic noise using SoundPLAN for a highway upgrade, identifying barrier locations that reduced predicted levels at nearby residences.</w:t>
      </w:r>
    </w:p>
    <w:p>
      <w:pPr>
        <w:pStyle w:val="ListBullet"/>
        <w:spacing w:after="80" w:line="276" w:lineRule="auto"/>
      </w:pPr>
      <w:r>
        <w:t>Designed acoustic treatments for a 200-seat auditorium, including absorbers and diffusers, which achieved the target reverberation time on first measurement.</w:t>
      </w:r>
    </w:p>
    <w:p>
      <w:pPr>
        <w:pStyle w:val="ListBullet"/>
        <w:spacing w:after="80" w:line="276" w:lineRule="auto"/>
      </w:pPr>
      <w:r>
        <w:t>Assessed mechanical services noise for a 15-storey commercial building, recommending isolation mounts and duct silencers that brought plant noise within the project's design criteria.</w:t>
      </w:r>
    </w:p>
    <w:p>
      <w:pPr>
        <w:pStyle w:val="ListBullet"/>
        <w:spacing w:after="80" w:line="276" w:lineRule="auto"/>
      </w:pPr>
      <w:r>
        <w:t>Prepared acoustic assessments for development applications, working with planners and architects to resolve noise issues before lodgement.</w:t>
      </w:r>
    </w:p>
    <w:p>
      <w:pPr>
        <w:pStyle w:val="ListBullet"/>
        <w:spacing w:after="240" w:line="276" w:lineRule="auto"/>
      </w:pPr>
      <w:r>
        <w:t>Led vibration monitoring during construction of a rail tunnel, providing real-time advice that kept works within the relevant limits.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Engineering (Honours) in mechanical, electrical or civil engineering, with a postgraduate qualification in acoustics or vibration commonly completed. Engineers Australia accreditation is typical, and some practitioners enter via a Diploma of Engineering with extensive field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