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Advertising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Advertising manager with a decade of agency and in-house experience planning and directing multi-channel campaigns for retail, finance and consumer brands. I lead creative and media teams through strategy, budget negotiation and post-campaign evaluation, and I am comfortable holding both the client relationship and the numbers. Looking for a role where I can own a portfolio of campaigns end to end and build the capability of the people around 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Campaign strategy across paid search, social, programmatic, broadcast and out of home   •   Marketing analytics and attribution, including incrementality testing   •   Budget setting, forecasting and media contract negotiation   •   Project management of creative and media workstreams   •   Google Ads and Meta Ads Manager campaign build and optimisation   •   Google Analytics 4 and Adobe Analytics reporting   •   Salesforce Marketing Cloud for lifecycle and CRM-linked campaigns   •   Client relationships and senior stakeholder advisory   •   Presenting results and data storytelling to executive audiences   •   Leading and mentoring advertising coordinators and executives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Advertising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and directed annual advertising campaigns for a portfolio of consumer brands, coordinating internal creative, external agencies and media partners across five channels</w:t>
      </w:r>
    </w:p>
    <w:p>
      <w:pPr>
        <w:pStyle w:val="ListBullet"/>
        <w:spacing w:after="80" w:line="276" w:lineRule="auto"/>
      </w:pPr>
      <w:r>
        <w:t>Managed campaign budgets from brief through to reconciliation, negotiating rate cards and bonus inventory with television, radio, out of home and digital publishers</w:t>
      </w:r>
    </w:p>
    <w:p>
      <w:pPr>
        <w:pStyle w:val="ListBullet"/>
        <w:spacing w:after="80" w:line="276" w:lineRule="auto"/>
      </w:pPr>
      <w:r>
        <w:t>Rebuilt campaign reporting around Google Analytics 4 and Adobe Analytics, cutting the monthly reporting cycle from six days to two and giving clients a single view of performance</w:t>
      </w:r>
    </w:p>
    <w:p>
      <w:pPr>
        <w:pStyle w:val="ListBullet"/>
        <w:spacing w:after="80" w:line="276" w:lineRule="auto"/>
      </w:pPr>
      <w:r>
        <w:t>Led a team of six advertising executives and coordinators, introducing a weekly optimisation stand-up that lifted on-time campaign delivery noticeably across the portfolio</w:t>
      </w:r>
    </w:p>
    <w:p>
      <w:pPr>
        <w:pStyle w:val="ListBullet"/>
        <w:spacing w:after="80" w:line="276" w:lineRule="auto"/>
      </w:pPr>
      <w:r>
        <w:t>Ran structured post-campaign reviews with clients and creative teams, turning findings into briefs that reduced rework on the following campaign cycle</w:t>
      </w:r>
    </w:p>
    <w:p>
      <w:pPr>
        <w:pStyle w:val="ListBullet"/>
        <w:spacing w:after="240" w:line="276" w:lineRule="auto"/>
      </w:pPr>
      <w:r>
        <w:t>Held day to day relationships with key clients, presenting strategy, in-flight performance and recommendations to marketing directors and general managers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marketing, advertising, communications or a related discipline is the most common pathway, though a diploma or advanced diploma plus several years of agency or in-house experience is well regarded, and some managers enter after Year 12 with strong campaign delivery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