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Air Traffic Controller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Air Traffic Controller with strong situational awareness and a disciplined approach to separation standards and emergency procedures. Experienced in coordinating aircraft movements across tower, approach and en-route environments under strict international and Australian aviation safety requirements. Works calmly under sustained cognitive load and communicates clearly with pilots and adjacent sectors during high-density traffic periods.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Operations management   •   Risk and internal controls   •   Emergency response   •   Radar display systems   •   Radio communication equipment   •   Flight data processing systems   •   Aeronautical charts and publications   •   Strip marking equipment   •   Attention to detail   •   Stakeholder management   •   Time and deadline management   •   Problem solving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Air Traffic Controller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Monitored aircraft positions and altitudes on radar displays, issuing vectoring instructions that maintained safe separation throughout peak traffic periods</w:t>
      </w:r>
    </w:p>
    <w:p>
      <w:pPr>
        <w:pStyle w:val="ListBullet"/>
        <w:spacing w:after="80" w:line="276" w:lineRule="auto"/>
      </w:pPr>
      <w:r>
        <w:t>Issued landing clearances, runway assignments and go-around directives, sequencing multiple aircraft without loss of separation during high-density arrival banks</w:t>
      </w:r>
    </w:p>
    <w:p>
      <w:pPr>
        <w:pStyle w:val="ListBullet"/>
        <w:spacing w:after="80" w:line="276" w:lineRule="auto"/>
      </w:pPr>
      <w:r>
        <w:t>Coordinated handoffs between control sectors and adjacent facilities, maintaining accurate communication logs and reducing ambiguity during shift transitions</w:t>
      </w:r>
    </w:p>
    <w:p>
      <w:pPr>
        <w:pStyle w:val="ListBullet"/>
        <w:spacing w:after="80" w:line="276" w:lineRule="auto"/>
      </w:pPr>
      <w:r>
        <w:t>Managed airspace congestion during peak periods by resequencing arrivals and departures to keep delays to a minimum</w:t>
      </w:r>
    </w:p>
    <w:p>
      <w:pPr>
        <w:pStyle w:val="ListBullet"/>
        <w:spacing w:after="80" w:line="276" w:lineRule="auto"/>
      </w:pPr>
      <w:r>
        <w:t>Responded to in-flight emergencies including mechanical failures and medical diversions, applying emergency procedures to bring aircraft down safely</w:t>
      </w:r>
    </w:p>
    <w:p>
      <w:pPr>
        <w:pStyle w:val="ListBullet"/>
        <w:spacing w:after="240" w:line="276" w:lineRule="auto"/>
      </w:pPr>
      <w:r>
        <w:t>Maintained flight strip and flight data records in line with Manual of Air Traffic Services (MATS) requirements throughout each shift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Entry typically requires completion of a CASA-approved Diploma of Aviation (Air Traffic Control) or an Airservices Australia cadetship, followed by unit-specific endorsement training and an Air Traffic Control Licence; a bachelor degree in aviation is also a common pathway.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