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Archivist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Archivist with experience appraising, cataloguing and preserving institutional records across government, education and cultural collections. Skilled in applying metadata standards and digital preservation systems to keep both physical and born-digital material accessible and legally compliant. Comfortable balancing conservation needs against researcher and public access demands.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Records appraisal and disposal scheduling   •   Regulatory compliance (Archives Act, State Records Act)   •   Metadata cataloguing using Dublin Core   •   ArchivesSpace collection management   •   Digital preservation with Archivematica   •   Conservation risk assessment   •   Project management   •   Full-text search indexing and discovery platform design   •   Stakeholder and researcher liaison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Archivist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Catalogued and indexed manuscript and photographic collections using Dublin Core metadata, reducing item retrieval time for research staff</w:t>
      </w:r>
    </w:p>
    <w:p>
      <w:pPr>
        <w:pStyle w:val="ListBullet"/>
        <w:spacing w:after="80" w:line="276" w:lineRule="auto"/>
      </w:pPr>
      <w:r>
        <w:t>Assessed incoming records against retention and disposal schedules, identifying which series held ongoing archival or legal value</w:t>
      </w:r>
    </w:p>
    <w:p>
      <w:pPr>
        <w:pStyle w:val="ListBullet"/>
        <w:spacing w:after="80" w:line="276" w:lineRule="auto"/>
      </w:pPr>
      <w:r>
        <w:t>Migrated legacy finding aids into ArchivesSpace, improving public discoverability of the collection online</w:t>
      </w:r>
    </w:p>
    <w:p>
      <w:pPr>
        <w:pStyle w:val="ListBullet"/>
        <w:spacing w:after="80" w:line="276" w:lineRule="auto"/>
      </w:pPr>
      <w:r>
        <w:t>Advised government agencies and community groups on record access protocols and freedom of information requirements</w:t>
      </w:r>
    </w:p>
    <w:p>
      <w:pPr>
        <w:pStyle w:val="ListBullet"/>
        <w:spacing w:after="80" w:line="276" w:lineRule="auto"/>
      </w:pPr>
      <w:r>
        <w:t>Planned storage and handling conditions for fragile material, extending the usable life of at-risk items</w:t>
      </w:r>
    </w:p>
    <w:p>
      <w:pPr>
        <w:pStyle w:val="ListBullet"/>
        <w:spacing w:after="240" w:line="276" w:lineRule="auto"/>
      </w:pPr>
      <w:r>
        <w:t>Coordinated a digitisation project from selection through to ingest into Archivematica, tracking progress against a fixed timeline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bachelor degree in history, humanities or information studies followed by a postgraduate qualification such as a Graduate Diploma or Master's in Information Management, Archives and Records Management, often with membership of the Australian Society of Archivists.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