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Art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secondary visual arts teacher with a studio practice across drawing, painting, printmaking and digital media. Experienced in planning programs that build technical skill and visual literacy from Year 7 through to senior folio work. Known for running an orderly, well-stocked studio and for exhibitions that give student work a genuine audience.</w:t>
      </w:r>
    </w:p>
    <w:p>
      <w:pPr>
        <w:spacing w:before="280" w:after="120"/>
        <w:jc w:val="left"/>
        <w:pBdr>
          <w:bottom w:val="single" w:sz="6" w:space="4" w:color="DFDED8"/>
        </w:pBdr>
      </w:pPr>
      <w:r>
        <w:rPr>
          <w:b/>
          <w:color w:val="2F62D9"/>
          <w:sz w:val="22"/>
        </w:rPr>
        <w:t>KEY SKILLS</w:t>
      </w:r>
    </w:p>
    <w:p>
      <w:pPr>
        <w:spacing w:before="0" w:after="200"/>
        <w:jc w:val="left"/>
      </w:pPr>
      <w:r>
        <w:t>Visual arts teaching across drawing, painting, printmaking, sculpture and digital media   •   Curriculum and lesson design aligned to the Australian Curriculum: The Arts   •   Classroom and behaviour management in practical studio settings   •   Student assessment and reporting against achievement standards   •   Pastoral care and student wellbeing   •   Exhibition and display coordination   •   Art history and theory taught alongside practical work   •   Adobe Creative Cloud (Photoshop, Illustrator)   •   Google Classroom and Canvas LMS   •   Procreate on iPad   •   Microsoft 365   •   Studio resource management and WHS compliance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Art Teacher</w:t>
      </w:r>
      <w:r>
        <w:t>, [Company Name], [City]</w:t>
      </w:r>
      <w:r>
        <w:rPr>
          <w:i/>
        </w:rPr>
        <w:tab/>
        <w:t>[Month Year] – [Month Year / Present]</w:t>
      </w:r>
    </w:p>
    <w:p>
      <w:pPr>
        <w:pStyle w:val="ListBullet"/>
        <w:spacing w:after="80" w:line="276" w:lineRule="auto"/>
      </w:pPr>
      <w:r>
        <w:t>Planned and delivered visual arts programs across junior and senior year levels, sequencing skills from observational drawing through to resolved major works so students built on prior learning rather than starting fresh each unit.</w:t>
      </w:r>
    </w:p>
    <w:p>
      <w:pPr>
        <w:pStyle w:val="ListBullet"/>
        <w:spacing w:after="80" w:line="276" w:lineRule="auto"/>
      </w:pPr>
      <w:r>
        <w:t>Assessed practical work, visual diaries and written folios against the achievement standards, returning feedback students could act on within the same unit instead of after the work was finished.</w:t>
      </w:r>
    </w:p>
    <w:p>
      <w:pPr>
        <w:pStyle w:val="ListBullet"/>
        <w:spacing w:after="80" w:line="276" w:lineRule="auto"/>
      </w:pPr>
      <w:r>
        <w:t>Coordinated the annual student exhibition, managing submission deadlines, hanging a display across two spaces and rostering student helpers across the opening event.</w:t>
      </w:r>
    </w:p>
    <w:p>
      <w:pPr>
        <w:pStyle w:val="ListBullet"/>
        <w:spacing w:after="80" w:line="276" w:lineRule="auto"/>
      </w:pPr>
      <w:r>
        <w:t>Maintained the studio budget and supply inventory, teaching students to prep and reuse materials such as canvases and printmaking inks, which kept the studio running through the full year without emergency purchases.</w:t>
      </w:r>
    </w:p>
    <w:p>
      <w:pPr>
        <w:pStyle w:val="ListBullet"/>
        <w:spacing w:after="80" w:line="276" w:lineRule="auto"/>
      </w:pPr>
      <w:r>
        <w:t>Introduced Procreate and Adobe Creative Cloud into the senior program, extending the options available for major works without adding to the studio's physical footprint.</w:t>
      </w:r>
    </w:p>
    <w:p>
      <w:pPr>
        <w:pStyle w:val="ListBullet"/>
        <w:spacing w:after="80" w:line="276" w:lineRule="auto"/>
      </w:pPr>
      <w:r>
        <w:t>Ran lunchtime studio sessions for students preparing major works, lifting completed submissions from a handful of volunteers to the full senior cohort.</w:t>
      </w:r>
    </w:p>
    <w:p>
      <w:pPr>
        <w:pStyle w:val="ListBullet"/>
        <w:spacing w:after="80" w:line="276" w:lineRule="auto"/>
      </w:pPr>
      <w:r>
        <w:t>Supervised and mentored preservice teachers and studio assistants, including safe operation of the kiln, etching press and cutting equipment.</w:t>
      </w:r>
    </w:p>
    <w:p>
      <w:pPr>
        <w:pStyle w:val="ListBullet"/>
        <w:spacing w:after="240" w:line="276" w:lineRule="auto"/>
      </w:pPr>
      <w:r>
        <w:t>Led a whole-school art history unit that linked periods and movements to the practical tasks students were working on, giving theory a visible place in their own making.</w:t>
      </w:r>
    </w:p>
    <w:p>
      <w:pPr>
        <w:spacing w:before="280" w:after="120"/>
        <w:jc w:val="left"/>
        <w:pBdr>
          <w:bottom w:val="single" w:sz="6" w:space="4" w:color="DFDED8"/>
        </w:pBdr>
      </w:pPr>
      <w:r>
        <w:rPr>
          <w:b/>
          <w:color w:val="2F62D9"/>
          <w:sz w:val="22"/>
        </w:rPr>
        <w:t>EDUCATION</w:t>
      </w:r>
    </w:p>
    <w:p>
      <w:pPr>
        <w:spacing w:before="0" w:after="200"/>
        <w:jc w:val="left"/>
      </w:pPr>
      <w:r>
        <w:t>Bachelor of Education (Secondary) with a Visual Arts specialisation, or a Bachelor of Fine Arts followed by a Master of Teaching (Secondary), plus current registration with the relevant state or territory teacher authority such as NESA, VIT or the QCT and a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