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Art Therapist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Art therapist with a person-centred approach to using creative practice as a therapeutic tool. Experienced in assessing client needs, facilitating individual and group sessions, and supporting people through grief, trauma, and stress. Committed to evidence-based, trauma-informed care and ongoing professional development within the Australian mental health sector.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Care planning and coordination   •   Counselling and support work   •   Health education and advice   •   Cliniko   •   Coreplus   •   Coviu   •   Zoom   •   Microsoft Office   •   Empathy and interpersonal care   •   Written communication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Art Therapist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comprehensive psychosocial assessments for new clients, identifying emotional and psychological needs and developing individualised care plans in collaboration with treating teams.</w:t>
      </w:r>
    </w:p>
    <w:p>
      <w:pPr>
        <w:pStyle w:val="ListBullet"/>
        <w:spacing w:after="80" w:line="276" w:lineRule="auto"/>
      </w:pPr>
      <w:r>
        <w:t>Facilitated weekly group art therapy sessions for up to eight participants, adapting creative activities to support expression, coping, and connection.</w:t>
      </w:r>
    </w:p>
    <w:p>
      <w:pPr>
        <w:pStyle w:val="ListBullet"/>
        <w:spacing w:after="80" w:line="276" w:lineRule="auto"/>
      </w:pPr>
      <w:r>
        <w:t>Guided clients in using a range of art materials and techniques, helping them explore feelings and build practical strategies for managing stress and trauma.</w:t>
      </w:r>
    </w:p>
    <w:p>
      <w:pPr>
        <w:pStyle w:val="ListBullet"/>
        <w:spacing w:after="80" w:line="276" w:lineRule="auto"/>
      </w:pPr>
      <w:r>
        <w:t>Maintained confidential client records and progress notes, documenting observations and session outcomes within 24 hours to support continuity of care.</w:t>
      </w:r>
    </w:p>
    <w:p>
      <w:pPr>
        <w:pStyle w:val="ListBullet"/>
        <w:spacing w:after="240" w:line="276" w:lineRule="auto"/>
      </w:pPr>
      <w:r>
        <w:t>Collaborated with a multidisciplinary team of five clinicians to coordinate care, share insights from clients' creative work, and adjust therapeutic approaches as needed.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Master of Art Therapy (or equivalent postgraduate qualification) from an accredited Australian university, following a bachelor degree in a related field such as visual arts, psychology, counselling, or social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