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External Auditor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External auditor with experience planning and executing audit engagements, testing financial controls, and reviewing financial statements against Australian Auditing Standards. Comfortable liaising directly with client finance teams and working to the tight deadlines that define audit's busy season.</w:t>
      </w:r>
    </w:p>
    <w:p>
      <w:pPr>
        <w:spacing w:before="280" w:after="120"/>
        <w:jc w:val="left"/>
        <w:pBdr>
          <w:bottom w:val="single" w:sz="6" w:space="4" w:color="DFDED8"/>
        </w:pBdr>
      </w:pPr>
      <w:r>
        <w:rPr>
          <w:b/>
          <w:color w:val="2F62D9"/>
          <w:sz w:val="22"/>
        </w:rPr>
        <w:t>KEY SKILLS</w:t>
      </w:r>
    </w:p>
    <w:p>
      <w:pPr>
        <w:spacing w:before="0" w:after="200"/>
        <w:jc w:val="left"/>
      </w:pPr>
      <w:r>
        <w:t>Auditing and assurance   •   Financial reporting   •   Risk and internal controls   •   Regulatory compliance   •   CaseWare   •   Excel   •   Data analytics tools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External Auditor</w:t>
      </w:r>
      <w:r>
        <w:t>, [Company Name], [City]</w:t>
      </w:r>
      <w:r>
        <w:rPr>
          <w:i/>
        </w:rPr>
        <w:tab/>
        <w:t>[Month Year] – [Month Year / Present]</w:t>
      </w:r>
    </w:p>
    <w:p>
      <w:pPr>
        <w:pStyle w:val="ListBullet"/>
        <w:spacing w:after="80" w:line="276" w:lineRule="auto"/>
      </w:pPr>
      <w:r>
        <w:t>Planned and executed audit engagements for clients across multiple industries, meeting reporting deadlines during peak audit season</w:t>
      </w:r>
    </w:p>
    <w:p>
      <w:pPr>
        <w:pStyle w:val="ListBullet"/>
        <w:spacing w:after="80" w:line="276" w:lineRule="auto"/>
      </w:pPr>
      <w:r>
        <w:t>Tested financial controls and transactions, identifying control gaps and recommending remediation actions to client finance teams</w:t>
      </w:r>
    </w:p>
    <w:p>
      <w:pPr>
        <w:pStyle w:val="ListBullet"/>
        <w:spacing w:after="80" w:line="276" w:lineRule="auto"/>
      </w:pPr>
      <w:r>
        <w:t>Reviewed financial statements against AASB and ASA requirements, reducing the number of queries raised at partner review stage</w:t>
      </w:r>
    </w:p>
    <w:p>
      <w:pPr>
        <w:pStyle w:val="ListBullet"/>
        <w:spacing w:after="80" w:line="276" w:lineRule="auto"/>
      </w:pPr>
      <w:r>
        <w:t>Documented audit findings and drafted sections of audit opinions for engagement partner sign-off</w:t>
      </w:r>
    </w:p>
    <w:p>
      <w:pPr>
        <w:pStyle w:val="ListBullet"/>
        <w:spacing w:after="80" w:line="276" w:lineRule="auto"/>
      </w:pPr>
      <w:r>
        <w:t>Liaised with client finance teams to resolve outstanding audit queries ahead of statutory reporting deadlines</w:t>
      </w:r>
    </w:p>
    <w:p>
      <w:pPr>
        <w:pStyle w:val="ListBullet"/>
        <w:spacing w:after="240" w:line="276" w:lineRule="auto"/>
      </w:pPr>
      <w:r>
        <w:t>Used CaseWare and Excel-based data analytics tools to test full transaction populations rather than samples, shortening substantive testing timeframes</w:t>
      </w:r>
    </w:p>
    <w:p>
      <w:pPr>
        <w:spacing w:before="280" w:after="120"/>
        <w:jc w:val="left"/>
        <w:pBdr>
          <w:bottom w:val="single" w:sz="6" w:space="4" w:color="DFDED8"/>
        </w:pBdr>
      </w:pPr>
      <w:r>
        <w:rPr>
          <w:b/>
          <w:color w:val="2F62D9"/>
          <w:sz w:val="22"/>
        </w:rPr>
        <w:t>EDUCATION</w:t>
      </w:r>
    </w:p>
    <w:p>
      <w:pPr>
        <w:spacing w:before="0" w:after="200"/>
        <w:jc w:val="left"/>
      </w:pPr>
      <w:r>
        <w:t>Bachelor's degree in accounting, commerce or finance is the typical entry point, followed by the CA ANZ or CPA Australia professional program completed while working under supervision in a firm; a growing share enter via a postgraduate accounting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