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Barrister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Barrister with experience in courtroom advocacy, legal opinion writing and case strategy, briefed by instructing solicitors across civil and administrative matters. Comfortable running cross-examination, drafting pleadings and submissions, and advising on prospects and settlement under time pressure. Admitted to practice with a working knowledge of court procedure and evidence law.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Legal research and case law analysis   •   Drafting pleadings, submissions and legal opinions   •   Cross-examination and witness handling   •   Litigation strategy and dispute resolution   •   Regulatory and administrative law   •   Westlaw and LexisNexis research databases   •   Court e-lodgement and case management systems   •   Client and instructing solicitor liaison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Barrister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and delivered oral submissions in court and tribunal hearings, adapting argument in response to bench questioning</w:t>
      </w:r>
    </w:p>
    <w:p>
      <w:pPr>
        <w:pStyle w:val="ListBullet"/>
        <w:spacing w:after="80" w:line="276" w:lineRule="auto"/>
      </w:pPr>
      <w:r>
        <w:t>Drafted legal opinions and advices on prospects of success, reducing instructing solicitors' need for further clarifying queries</w:t>
      </w:r>
    </w:p>
    <w:p>
      <w:pPr>
        <w:pStyle w:val="ListBullet"/>
        <w:spacing w:after="80" w:line="276" w:lineRule="auto"/>
      </w:pPr>
      <w:r>
        <w:t>Conducted cross-examination of witnesses in contested hearings, testing evidence against the pleaded case</w:t>
      </w:r>
    </w:p>
    <w:p>
      <w:pPr>
        <w:pStyle w:val="ListBullet"/>
        <w:spacing w:after="80" w:line="276" w:lineRule="auto"/>
      </w:pPr>
      <w:r>
        <w:t>Researched case law and statutory provisions to support litigation strategy, identifying precedent that shaped settlement advice</w:t>
      </w:r>
    </w:p>
    <w:p>
      <w:pPr>
        <w:pStyle w:val="ListBullet"/>
        <w:spacing w:after="80" w:line="276" w:lineRule="auto"/>
      </w:pPr>
      <w:r>
        <w:t>Advised clients and solicitors on settlement options ahead of hearing dates, contributing to matters resolving before trial</w:t>
      </w:r>
    </w:p>
    <w:p>
      <w:pPr>
        <w:pStyle w:val="ListBullet"/>
        <w:spacing w:after="240" w:line="276" w:lineRule="auto"/>
      </w:pPr>
      <w:r>
        <w:t>Managed briefs across concurrent matters using case management and e-lodgement systems, meeting court-imposed filing deadlines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Laws (or Juris Doctor) followed by Practical Legal Training, admission as an Australian legal practitioner, and completion of a bar practice course or reading period before signing the Bar Roll in the relevant state or territory.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