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Behaviour Support Practitioner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Behaviour Support Practitioner with a person-centred approach to complex behaviour assessment and planning. Skilled in functional behaviour assessment, positive behaviour support plan development, and training support teams across disability and community settings. Committed to NDIS quality and safeguarding standards and improving quality of life for people with disability.</w:t>
      </w:r>
    </w:p>
    <w:p>
      <w:pPr>
        <w:spacing w:before="280" w:after="120"/>
        <w:jc w:val="left"/>
        <w:pBdr>
          <w:bottom w:val="single" w:sz="6" w:space="4" w:color="DFDED8"/>
        </w:pBdr>
      </w:pPr>
      <w:r>
        <w:rPr>
          <w:b/>
          <w:color w:val="2F62D9"/>
          <w:sz w:val="22"/>
        </w:rPr>
        <w:t>KEY SKILLS</w:t>
      </w:r>
    </w:p>
    <w:p>
      <w:pPr>
        <w:spacing w:before="0" w:after="200"/>
        <w:jc w:val="left"/>
      </w:pPr>
      <w:r>
        <w:t>Functional behaviour assessment   •   Positive behaviour support planning   •   Restrictive practice reduction   •   Care planning and coordination   •   Casework and client support   •   Regulatory compliance (NDIS)   •   Training and coaching support workers   •   Counselling and support work   •   Stakeholder management   •   Written communication   •   Problem solving   •   Attention to detail   •   NDIS Commission Portal   •   Lumary   •   CareMaster   •   Microsoft Office   •   Google Workspace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Behaviour Support Practitioner</w:t>
      </w:r>
      <w:r>
        <w:t>, [Company Name], [City]</w:t>
      </w:r>
      <w:r>
        <w:rPr>
          <w:i/>
        </w:rPr>
        <w:tab/>
        <w:t>[Month Year] – [Month Year / Present]</w:t>
      </w:r>
    </w:p>
    <w:p>
      <w:pPr>
        <w:pStyle w:val="ListBullet"/>
        <w:spacing w:after="80" w:line="276" w:lineRule="auto"/>
      </w:pPr>
      <w:r>
        <w:t>Conducted functional behaviour assessments for clients with complex needs, leading to individualised support plans that reduced incident frequency across a caseload of 15 clients.</w:t>
      </w:r>
    </w:p>
    <w:p>
      <w:pPr>
        <w:pStyle w:val="ListBullet"/>
        <w:spacing w:after="80" w:line="276" w:lineRule="auto"/>
      </w:pPr>
      <w:r>
        <w:t>Developed and implemented positive behaviour support plans in collaboration with allied health teams, resulting in more consistent strategies across support shifts.</w:t>
      </w:r>
    </w:p>
    <w:p>
      <w:pPr>
        <w:pStyle w:val="ListBullet"/>
        <w:spacing w:after="80" w:line="276" w:lineRule="auto"/>
      </w:pPr>
      <w:r>
        <w:t>Trained 30 support workers and family members in behaviour strategies, improving confidence and consistency in applying plans.</w:t>
      </w:r>
    </w:p>
    <w:p>
      <w:pPr>
        <w:pStyle w:val="ListBullet"/>
        <w:spacing w:after="80" w:line="276" w:lineRule="auto"/>
      </w:pPr>
      <w:r>
        <w:t>Monitored and reviewed behaviour support plans, adjusting approaches based on data and client progress, which led to measurable improvements in community participation.</w:t>
      </w:r>
    </w:p>
    <w:p>
      <w:pPr>
        <w:pStyle w:val="ListBullet"/>
        <w:spacing w:after="240" w:line="276" w:lineRule="auto"/>
      </w:pPr>
      <w:r>
        <w:t>Collaborated with allied health professionals and support coordinators to align behaviour support with broader care plans, reducing gaps in service delivery.</w:t>
      </w:r>
    </w:p>
    <w:p>
      <w:pPr>
        <w:spacing w:before="280" w:after="120"/>
        <w:jc w:val="left"/>
        <w:pBdr>
          <w:bottom w:val="single" w:sz="6" w:space="4" w:color="DFDED8"/>
        </w:pBdr>
      </w:pPr>
      <w:r>
        <w:rPr>
          <w:b/>
          <w:color w:val="2F62D9"/>
          <w:sz w:val="22"/>
        </w:rPr>
        <w:t>EDUCATION</w:t>
      </w:r>
    </w:p>
    <w:p>
      <w:pPr>
        <w:spacing w:before="0" w:after="200"/>
        <w:jc w:val="left"/>
      </w:pPr>
      <w:r>
        <w:t>A bachelor degree in psychology, social work, occupational therapy, or disability studies is the most common entry qualification, with some practitioners completing postgraduate study in positive behaviour support. A diploma or advanced diploma in disability or community services is also a recognised pathway into the role.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