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Biochemist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Biochemist with a strong background in protein biochemistry and analytical techniques. Experienced in designing experiments, purifying biological molecules and interpreting complex data to support research and diagnostic outcomes. Committed to rigorous safety and quality standards in Australian laboratories.</w:t>
      </w:r>
    </w:p>
    <w:p>
      <w:pPr>
        <w:spacing w:before="280" w:after="120"/>
        <w:jc w:val="left"/>
        <w:pBdr>
          <w:bottom w:val="single" w:sz="6" w:space="4" w:color="DFDED8"/>
        </w:pBdr>
      </w:pPr>
      <w:r>
        <w:rPr>
          <w:b/>
          <w:color w:val="2F62D9"/>
          <w:sz w:val="22"/>
        </w:rPr>
        <w:t>KEY SKILLS</w:t>
      </w:r>
    </w:p>
    <w:p>
      <w:pPr>
        <w:spacing w:before="0" w:after="200"/>
        <w:jc w:val="left"/>
      </w:pPr>
      <w:r>
        <w:t>Laboratory analysis   •   Data analysis   •   Statistical modelling   •   Project management   •   GraphPad Prism   •   Benchling   •   R   •   PyMOL   •   ImageJ   •   Chromatography   •   Electrophoresis   •   Mass spectrometry   •   Spectroscopy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Biochemist</w:t>
      </w:r>
      <w:r>
        <w:t>, [Company Name], [City]</w:t>
      </w:r>
      <w:r>
        <w:rPr>
          <w:i/>
        </w:rPr>
        <w:tab/>
        <w:t>[Month Year] – [Month Year / Present]</w:t>
      </w:r>
    </w:p>
    <w:p>
      <w:pPr>
        <w:pStyle w:val="ListBullet"/>
        <w:spacing w:after="80" w:line="276" w:lineRule="auto"/>
      </w:pPr>
      <w:r>
        <w:t>Designed and ran enzyme kinetics assays to characterise novel proteins, reducing assay turnaround from two weeks to five days.</w:t>
      </w:r>
    </w:p>
    <w:p>
      <w:pPr>
        <w:pStyle w:val="ListBullet"/>
        <w:spacing w:after="80" w:line="276" w:lineRule="auto"/>
      </w:pPr>
      <w:r>
        <w:t>Purified recombinant proteins using affinity chromatography and SDS-PAGE, achieving yields sufficient for downstream structural studies.</w:t>
      </w:r>
    </w:p>
    <w:p>
      <w:pPr>
        <w:pStyle w:val="ListBullet"/>
        <w:spacing w:after="80" w:line="276" w:lineRule="auto"/>
      </w:pPr>
      <w:r>
        <w:t>Analysed metabolite samples by mass spectrometry, identifying key pathway intermediates that guided subsequent experiments.</w:t>
      </w:r>
    </w:p>
    <w:p>
      <w:pPr>
        <w:pStyle w:val="ListBullet"/>
        <w:spacing w:after="80" w:line="276" w:lineRule="auto"/>
      </w:pPr>
      <w:r>
        <w:t>Maintained laboratory equipment and followed WHS and OGTR requirements, passing internal audits with no findings.</w:t>
      </w:r>
    </w:p>
    <w:p>
      <w:pPr>
        <w:pStyle w:val="ListBullet"/>
        <w:spacing w:after="240" w:line="276" w:lineRule="auto"/>
      </w:pPr>
      <w:r>
        <w:t>Reported experimental data to research teams and prepared figures for publication using GraphPad Prism and R.</w:t>
      </w:r>
    </w:p>
    <w:p>
      <w:pPr>
        <w:spacing w:before="280" w:after="120"/>
        <w:jc w:val="left"/>
        <w:pBdr>
          <w:bottom w:val="single" w:sz="6" w:space="4" w:color="DFDED8"/>
        </w:pBdr>
      </w:pPr>
      <w:r>
        <w:rPr>
          <w:b/>
          <w:color w:val="2F62D9"/>
          <w:sz w:val="22"/>
        </w:rPr>
        <w:t>EDUCATION</w:t>
      </w:r>
    </w:p>
    <w:p>
      <w:pPr>
        <w:spacing w:before="0" w:after="200"/>
        <w:jc w:val="left"/>
      </w:pPr>
      <w:r>
        <w:t>Bachelor of Science majoring in biochemistry, often followed by an honours year or a PhD for research-focused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