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Biotechnologist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Biotechnologist with a postgraduate background in molecular biology and hands-on experience across cell culture, molecular assays and data analysis in PC2 laboratories. Works to TGA, OGTR and GMP requirements, with a record of keeping experimental documentation audit-ready. Moves comfortably between bench work and quantitative analysis in RStudio and GraphPad Prism.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Cell culture and aseptic technique   •   Molecular techniques including PCR, qPCR, DNA and RNA extraction and gel electrophoresis   •   Protein analysis and chromatography   •   Assay development and validation   •   Statistical analysis and interpretation of experimental data   •   Regulatory compliance including TGA, OGTR and GMP requirements   •   Laboratory documentation, traceability and audit preparation   •   Equipment maintenance, calibration and reagent management   •   Benchling   •   SnapGene   •   GraphPad Prism   •   RStudio   •   Laboratory Information Management Systems (LIMS)   •   Attention to detail and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Biotechnologist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Ran PCR, gel electrophoresis and chromatography assays across a shared laboratory, turning around sample batches within agreed client timeframes.</w:t>
      </w:r>
    </w:p>
    <w:p>
      <w:pPr>
        <w:pStyle w:val="ListBullet"/>
        <w:spacing w:after="80" w:line="276" w:lineRule="auto"/>
      </w:pPr>
      <w:r>
        <w:t>Cultured bacterial and mammalian cell lines under aseptic conditions, maintaining viability across multi-week experimental programs.</w:t>
      </w:r>
    </w:p>
    <w:p>
      <w:pPr>
        <w:pStyle w:val="ListBullet"/>
        <w:spacing w:after="80" w:line="276" w:lineRule="auto"/>
      </w:pPr>
      <w:r>
        <w:t>Recorded experimental data in Benchling and the laboratory LIMS so every result could be traced from raw instrument output to the final report during audits.</w:t>
      </w:r>
    </w:p>
    <w:p>
      <w:pPr>
        <w:pStyle w:val="ListBullet"/>
        <w:spacing w:after="80" w:line="276" w:lineRule="auto"/>
      </w:pPr>
      <w:r>
        <w:t>Maintained equipment calibration schedules and reagent stocks, reducing unplanned instrument downtime for the wider team.</w:t>
      </w:r>
    </w:p>
    <w:p>
      <w:pPr>
        <w:pStyle w:val="ListBullet"/>
        <w:spacing w:after="80" w:line="276" w:lineRule="auto"/>
      </w:pPr>
      <w:r>
        <w:t>Analysed assay results in GraphPad Prism and RStudio and presented findings at weekly group meetings.</w:t>
      </w:r>
    </w:p>
    <w:p>
      <w:pPr>
        <w:pStyle w:val="ListBullet"/>
        <w:spacing w:after="240" w:line="276" w:lineRule="auto"/>
      </w:pPr>
      <w:r>
        <w:t>Investigated out-of-specification results through repeat testing, reagent checks and equipment review, documenting each deviation and its resolution.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Science in biotechnology, molecular biology or biochemistry, usually followed by an honours year or a Master of Biotechnology, with a PhD common for research and development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