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Boarding House Supervisor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Boarding House Supervisor with a strong focus on student welfare, safety, and daily routines in a school boarding environment. Experienced in pastoral care, behaviour management, and coordinating activities that support young people's academic and personal growth. Skilled in using school management systems to maintain accurate records and communicate effectively with staff and families.</w:t>
      </w:r>
    </w:p>
    <w:p>
      <w:pPr>
        <w:spacing w:before="280" w:after="120"/>
        <w:jc w:val="left"/>
        <w:pBdr>
          <w:bottom w:val="single" w:sz="6" w:space="4" w:color="DFDED8"/>
        </w:pBdr>
      </w:pPr>
      <w:r>
        <w:rPr>
          <w:b/>
          <w:color w:val="2F62D9"/>
          <w:sz w:val="22"/>
        </w:rPr>
        <w:t>KEY SKILLS</w:t>
      </w:r>
    </w:p>
    <w:p>
      <w:pPr>
        <w:spacing w:before="0" w:after="200"/>
        <w:jc w:val="left"/>
      </w:pPr>
      <w:r>
        <w:t>Pastoral care and wellbeing   •   Rostering and venue operations   •   SEQTA   •   TASS   •   Synergetic   •   Microsoft Teams   •   Microsoft Office   •   Written communication   •   People leadership   •   Problem solving   •   Safety and compliance awareness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Boarding House Supervisor</w:t>
      </w:r>
      <w:r>
        <w:t>, [Company Name], [City]</w:t>
      </w:r>
      <w:r>
        <w:rPr>
          <w:i/>
        </w:rPr>
        <w:tab/>
        <w:t>[Month Year] – [Month Year / Present]</w:t>
      </w:r>
    </w:p>
    <w:p>
      <w:pPr>
        <w:pStyle w:val="ListBullet"/>
        <w:spacing w:after="80" w:line="276" w:lineRule="auto"/>
      </w:pPr>
      <w:r>
        <w:t>Supervised up to 40 boarding students during evening routines, ensuring all were accounted for and settled by curfew.</w:t>
      </w:r>
    </w:p>
    <w:p>
      <w:pPr>
        <w:pStyle w:val="ListBullet"/>
        <w:spacing w:after="80" w:line="276" w:lineRule="auto"/>
      </w:pPr>
      <w:r>
        <w:t>Coordinated weekend activity programs, increasing student participation from 20 to 35 attendees over a school term.</w:t>
      </w:r>
    </w:p>
    <w:p>
      <w:pPr>
        <w:pStyle w:val="ListBullet"/>
        <w:spacing w:after="80" w:line="276" w:lineRule="auto"/>
      </w:pPr>
      <w:r>
        <w:t>Managed student behaviour and welfare issues, resolving conflicts and referring complex cases to the school counsellor within 24 hours.</w:t>
      </w:r>
    </w:p>
    <w:p>
      <w:pPr>
        <w:pStyle w:val="ListBullet"/>
        <w:spacing w:after="80" w:line="276" w:lineRule="auto"/>
      </w:pPr>
      <w:r>
        <w:t>Liaised with parents and teaching staff to support students' academic progress, maintaining regular communication through SEQTA and Microsoft Teams.</w:t>
      </w:r>
    </w:p>
    <w:p>
      <w:pPr>
        <w:pStyle w:val="ListBullet"/>
        <w:spacing w:after="240" w:line="276" w:lineRule="auto"/>
      </w:pPr>
      <w:r>
        <w:t>Maintained boarding house records and safety standards, conducting regular checks and completing incident reports accurately and on time.</w:t>
      </w:r>
    </w:p>
    <w:p>
      <w:pPr>
        <w:spacing w:before="280" w:after="120"/>
        <w:jc w:val="left"/>
        <w:pBdr>
          <w:bottom w:val="single" w:sz="6" w:space="4" w:color="DFDED8"/>
        </w:pBdr>
      </w:pPr>
      <w:r>
        <w:rPr>
          <w:b/>
          <w:color w:val="2F62D9"/>
          <w:sz w:val="22"/>
        </w:rPr>
        <w:t>EDUCATION</w:t>
      </w:r>
    </w:p>
    <w:p>
      <w:pPr>
        <w:spacing w:before="0" w:after="200"/>
        <w:jc w:val="left"/>
      </w:pPr>
      <w:r>
        <w:t>Year 12 or equivalent, with many boarding house supervisors holding a Certificate IV in Youth Work, Community Services, or a related field; some have a bachelor degree in education or social work.</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