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Bookmaker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Licensed bookmaker with a strong background in odds setting, risk management and regulatory compliance. Experienced in operating across racecourses and digital wagering platforms, handling high volumes of bets and settling payouts accurately. Known for staying calm under pressure and maintaining a customer-focused approach while protecting the book.</w:t>
      </w:r>
    </w:p>
    <w:p>
      <w:pPr>
        <w:spacing w:before="280" w:after="120"/>
        <w:jc w:val="left"/>
        <w:pBdr>
          <w:bottom w:val="single" w:sz="6" w:space="4" w:color="DFDED8"/>
        </w:pBdr>
      </w:pPr>
      <w:r>
        <w:rPr>
          <w:b/>
          <w:color w:val="2F62D9"/>
          <w:sz w:val="22"/>
        </w:rPr>
        <w:t>KEY SKILLS</w:t>
      </w:r>
    </w:p>
    <w:p>
      <w:pPr>
        <w:spacing w:before="0" w:after="200"/>
        <w:jc w:val="left"/>
      </w:pPr>
      <w:r>
        <w:t>Risk and internal controls   •   Regulatory compliance   •   Odds compilation software   •   Betting terminal software   •   Financial analysis and modelling   •   Selling and negotiation   •   Microsoft Excel   •   Online wagering platforms   •   Point of sale systems   •   Customer service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Bookmaker</w:t>
      </w:r>
      <w:r>
        <w:t>, [Company Name], [City]</w:t>
      </w:r>
      <w:r>
        <w:rPr>
          <w:i/>
        </w:rPr>
        <w:tab/>
        <w:t>[Month Year] – [Month Year / Present]</w:t>
      </w:r>
    </w:p>
    <w:p>
      <w:pPr>
        <w:pStyle w:val="ListBullet"/>
        <w:spacing w:after="80" w:line="276" w:lineRule="auto"/>
      </w:pPr>
      <w:r>
        <w:t>Set odds and managed markets for race meetings and sporting events across a full card of up to 80 runners, adjusting prices as betting unfolded to keep exposure within approved limits.</w:t>
      </w:r>
    </w:p>
    <w:p>
      <w:pPr>
        <w:pStyle w:val="ListBullet"/>
        <w:spacing w:after="80" w:line="276" w:lineRule="auto"/>
      </w:pPr>
      <w:r>
        <w:t>Processed hundreds of bets per shift during peak carnival periods, settling payouts accurately and maintaining detailed records for audit purposes.</w:t>
      </w:r>
    </w:p>
    <w:p>
      <w:pPr>
        <w:pStyle w:val="ListBullet"/>
        <w:spacing w:after="80" w:line="276" w:lineRule="auto"/>
      </w:pPr>
      <w:r>
        <w:t>Monitored betting patterns and flagged suspicious activity to the compliance team, helping to protect the book from fraudulent wagers and regulatory breaches.</w:t>
      </w:r>
    </w:p>
    <w:p>
      <w:pPr>
        <w:pStyle w:val="ListBullet"/>
        <w:spacing w:after="80" w:line="276" w:lineRule="auto"/>
      </w:pPr>
      <w:r>
        <w:t>Reconciled daily takings and payout records across multiple terminals, reducing end-of-day balancing time from 45 minutes to 20 minutes.</w:t>
      </w:r>
    </w:p>
    <w:p>
      <w:pPr>
        <w:pStyle w:val="ListBullet"/>
        <w:spacing w:after="80" w:line="276" w:lineRule="auto"/>
      </w:pPr>
      <w:r>
        <w:t>Negotiated odds with regular clients to retain turnover while managing risk, building a loyal customer base at the track.</w:t>
      </w:r>
    </w:p>
    <w:p>
      <w:pPr>
        <w:pStyle w:val="ListBullet"/>
        <w:spacing w:after="240" w:line="276" w:lineRule="auto"/>
      </w:pPr>
      <w:r>
        <w:t>Maintained compliance with state gambling regulations, passing internal audits without penalty.</w:t>
      </w:r>
    </w:p>
    <w:p>
      <w:pPr>
        <w:spacing w:before="280" w:after="120"/>
        <w:jc w:val="left"/>
        <w:pBdr>
          <w:bottom w:val="single" w:sz="6" w:space="4" w:color="DFDED8"/>
        </w:pBdr>
      </w:pPr>
      <w:r>
        <w:rPr>
          <w:b/>
          <w:color w:val="2F62D9"/>
          <w:sz w:val="22"/>
        </w:rPr>
        <w:t>EDUCATION</w:t>
      </w:r>
    </w:p>
    <w:p>
      <w:pPr>
        <w:spacing w:before="0" w:after="200"/>
        <w:jc w:val="left"/>
      </w:pPr>
      <w:r>
        <w:t>Year 12 or equivalent, plus a current state or territory bookmaker licence and ongoing compliance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