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Building Inspector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Building Inspector with a solid grounding in the Building Code of Australia and hands-on site inspection experience across residential and commercial projects. Skilled at reading architectural plans, testing structural and services systems, and translating technical findings into clear compliance reports. Works confidently with builders, architects and council officers to resolve non-conformances without delaying project timelines unnecessarily.</w:t>
      </w:r>
    </w:p>
    <w:p>
      <w:pPr>
        <w:spacing w:before="280" w:after="120"/>
        <w:jc w:val="left"/>
        <w:pBdr>
          <w:bottom w:val="single" w:sz="6" w:space="4" w:color="DFDED8"/>
        </w:pBdr>
      </w:pPr>
      <w:r>
        <w:rPr>
          <w:b/>
          <w:color w:val="2F62D9"/>
          <w:sz w:val="22"/>
        </w:rPr>
        <w:t>KEY SKILLS</w:t>
      </w:r>
    </w:p>
    <w:p>
      <w:pPr>
        <w:spacing w:before="0" w:after="200"/>
        <w:jc w:val="left"/>
      </w:pPr>
      <w:r>
        <w:t>Reading plans and specifications   •   Building Code of Australia (BCA) and NCC compliance   •   Worksite safety management   •   Field inspection and testing of structural, electrical and plumbing systems   •   Regulatory compliance and reporting   •   Moisture meters and thermal imaging cameras   •   Inspection management software   •   Spirit levels and tape measures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Building Inspector</w:t>
      </w:r>
      <w:r>
        <w:t>, [Company Name], [City]</w:t>
      </w:r>
      <w:r>
        <w:rPr>
          <w:i/>
        </w:rPr>
        <w:tab/>
        <w:t>[Month Year] – [Month Year / Present]</w:t>
      </w:r>
    </w:p>
    <w:p>
      <w:pPr>
        <w:pStyle w:val="ListBullet"/>
        <w:spacing w:after="80" w:line="276" w:lineRule="auto"/>
      </w:pPr>
      <w:r>
        <w:t>Inspected residential and commercial building sites at multiple construction stages against BCA and local council requirements, issuing compliance certificates or notices of non-conformance</w:t>
      </w:r>
    </w:p>
    <w:p>
      <w:pPr>
        <w:pStyle w:val="ListBullet"/>
        <w:spacing w:after="80" w:line="276" w:lineRule="auto"/>
      </w:pPr>
      <w:r>
        <w:t>Read and cross-checked architectural blueprints and engineering specifications against on-site construction to identify discrepancies before they became costly rework</w:t>
      </w:r>
    </w:p>
    <w:p>
      <w:pPr>
        <w:pStyle w:val="ListBullet"/>
        <w:spacing w:after="80" w:line="276" w:lineRule="auto"/>
      </w:pPr>
      <w:r>
        <w:t>Tested structural, electrical and plumbing systems using moisture meters, thermal imaging cameras and spirit levels to confirm safety and workmanship standards</w:t>
      </w:r>
    </w:p>
    <w:p>
      <w:pPr>
        <w:pStyle w:val="ListBullet"/>
        <w:spacing w:after="80" w:line="276" w:lineRule="auto"/>
      </w:pPr>
      <w:r>
        <w:t>Documented inspection findings in inspection management software, producing clear reports that builders and certifiers could act on without follow-up queries</w:t>
      </w:r>
    </w:p>
    <w:p>
      <w:pPr>
        <w:pStyle w:val="ListBullet"/>
        <w:spacing w:after="80" w:line="276" w:lineRule="auto"/>
      </w:pPr>
      <w:r>
        <w:t>Liaised with builders, architects and local authorities to communicate non-conformances and track remedial actions through to close-out</w:t>
      </w:r>
    </w:p>
    <w:p>
      <w:pPr>
        <w:pStyle w:val="ListBullet"/>
        <w:spacing w:after="240" w:line="276" w:lineRule="auto"/>
      </w:pPr>
      <w:r>
        <w:t>Reduced repeat site visits by flagging likely compliance issues early in the inspection sequence, saving builders time on subsequent stage inspections</w:t>
      </w:r>
    </w:p>
    <w:p>
      <w:pPr>
        <w:spacing w:before="280" w:after="120"/>
        <w:jc w:val="left"/>
        <w:pBdr>
          <w:bottom w:val="single" w:sz="6" w:space="4" w:color="DFDED8"/>
        </w:pBdr>
      </w:pPr>
      <w:r>
        <w:rPr>
          <w:b/>
          <w:color w:val="2F62D9"/>
          <w:sz w:val="22"/>
        </w:rPr>
        <w:t>EDUCATION</w:t>
      </w:r>
    </w:p>
    <w:p>
      <w:pPr>
        <w:spacing w:before="0" w:after="200"/>
        <w:jc w:val="left"/>
      </w:pPr>
      <w:r>
        <w:t>Typical pathway is a Certificate III/IV in a building trade or an Advanced Diploma of Building Surveying, often followed by a Bachelor's degree in Building Surveying or Construction Management, with registration as a building surveyor or inspector through the relevant state or territory licensing authority (such as the VBA, NSW Fair Trading or QBCC).</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