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Bus Driver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Bus driver focused on safe, on-time passenger transport across urban and regional routes. Comfortable managing ticketing systems, passenger accessibility needs and pre-trip vehicle checks against a fixed timetable. Known for calm, clear communication with passengers and control room staff when routes are disrupted.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Heavy vehicle driving and passenger transport operations   •   Emergency response and incident management   •   Pre-trip vehicle inspection and basic fault diagnosis   •   GPS and route management systems   •   Ticketing and fare collection systems   •   Two-way radio communication   •   CCTV onboard monitoring   •   Fatigue and regulatory driving hours compliance   •   Customer service and passenger assistance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Bus Driver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scheduled bus services across mixed urban and regional routes, maintaining on-time performance through peak traffic and detours</w:t>
      </w:r>
    </w:p>
    <w:p>
      <w:pPr>
        <w:pStyle w:val="ListBullet"/>
        <w:spacing w:after="80" w:line="276" w:lineRule="auto"/>
      </w:pPr>
      <w:r>
        <w:t>Conducted daily pre-trip safety inspections, identifying and reporting mechanical faults before departure to avoid service delays</w:t>
      </w:r>
    </w:p>
    <w:p>
      <w:pPr>
        <w:pStyle w:val="ListBullet"/>
        <w:spacing w:after="80" w:line="276" w:lineRule="auto"/>
      </w:pPr>
      <w:r>
        <w:t>Managed ticketing and fare collection using onboard systems, reconciling takings and reporting discrepancies at end of shift</w:t>
      </w:r>
    </w:p>
    <w:p>
      <w:pPr>
        <w:pStyle w:val="ListBullet"/>
        <w:spacing w:after="80" w:line="276" w:lineRule="auto"/>
      </w:pPr>
      <w:r>
        <w:t>Assisted passengers with mobility aids, prams and other accessibility needs in line with public transport disability standards</w:t>
      </w:r>
    </w:p>
    <w:p>
      <w:pPr>
        <w:pStyle w:val="ListBullet"/>
        <w:spacing w:after="80" w:line="276" w:lineRule="auto"/>
      </w:pPr>
      <w:r>
        <w:t>Maintained compliance with regulatory driving hours and fatigue management requirements across rostered shifts</w:t>
      </w:r>
    </w:p>
    <w:p>
      <w:pPr>
        <w:pStyle w:val="ListBullet"/>
        <w:spacing w:after="240" w:line="276" w:lineRule="auto"/>
      </w:pPr>
      <w:r>
        <w:t>Responded to onboard incidents and passenger complaints, de-escalating situations and logging reports per company procedure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beyond progression to a Heavy Rigid (HR) or Heavy Combination (HC) driver's licence and a state-issued Driver Authority or equivalent accreditation; many drivers also complete a Certificate III in Driving Operations or in-house transit authority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