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Business Broker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Business broker who takes small to mid-sized businesses from appraisal through to settlement, working directly with owners, their accountants and their solicitors. Combines hands-on valuation and financial modelling with confidential marketing and buyer qualification, and stays with the deal when finance or due diligence gets difficult. Works comfortably across Xero, Excel and listing CRMs such as Rex Software and Salesforce.</w:t>
      </w:r>
    </w:p>
    <w:p>
      <w:pPr>
        <w:spacing w:before="280" w:after="120"/>
        <w:jc w:val="left"/>
        <w:pBdr>
          <w:bottom w:val="single" w:sz="6" w:space="4" w:color="DFDED8"/>
        </w:pBdr>
      </w:pPr>
      <w:r>
        <w:rPr>
          <w:b/>
          <w:color w:val="2F62D9"/>
          <w:sz w:val="22"/>
        </w:rPr>
        <w:t>KEY SKILLS</w:t>
      </w:r>
    </w:p>
    <w:p>
      <w:pPr>
        <w:spacing w:before="0" w:after="200"/>
        <w:jc w:val="left"/>
      </w:pPr>
      <w:r>
        <w:t>Business valuation using earnings multiples, asset assessments and comparable sales   •   Financial analysis and modelling in Excel   •   Adjusted net profit and add-back analysis   •   Information memorandum and confidential listing preparation   •   Negotiation of sale terms, handover periods and vendor finance   •   Buyer qualification and lead screening   •   Marketing analytics and campaign tracking   •   Due diligence coordination   •   Client relationships and vendor advisory   •   Stakeholder management with accountants and solicitors   •   Xero   •   Salesforce   •   Rex Software   •   LinkedIn buyer sourcing and outreach   •   Written communication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Business Broker</w:t>
      </w:r>
      <w:r>
        <w:t>, [Company Name], [City]</w:t>
      </w:r>
      <w:r>
        <w:rPr>
          <w:i/>
        </w:rPr>
        <w:tab/>
        <w:t>[Month Year] – [Month Year / Present]</w:t>
      </w:r>
    </w:p>
    <w:p>
      <w:pPr>
        <w:pStyle w:val="ListBullet"/>
        <w:spacing w:after="80" w:line="276" w:lineRule="auto"/>
      </w:pPr>
      <w:r>
        <w:t>Valued more than 40 small and mid-sized businesses using earnings multiples, asset assessments and comparable sales, and set asking prices owners could defend with evidence at the first buyer meeting.</w:t>
      </w:r>
    </w:p>
    <w:p>
      <w:pPr>
        <w:pStyle w:val="ListBullet"/>
        <w:spacing w:after="80" w:line="276" w:lineRule="auto"/>
      </w:pPr>
      <w:r>
        <w:t>Prepared information memorandums and confidential marketing material across hospitality, trades and professional services, shortening the path from appraisal to signed confidentiality agreement to under two weeks.</w:t>
      </w:r>
    </w:p>
    <w:p>
      <w:pPr>
        <w:pStyle w:val="ListBullet"/>
        <w:spacing w:after="80" w:line="276" w:lineRule="auto"/>
      </w:pPr>
      <w:r>
        <w:t>Screened buyer enquiries for finance readiness and genuine intent, releasing financials only after a signed non-disclosure agreement, which kept casual browsers out of vendor meetings.</w:t>
      </w:r>
    </w:p>
    <w:p>
      <w:pPr>
        <w:pStyle w:val="ListBullet"/>
        <w:spacing w:after="80" w:line="276" w:lineRule="auto"/>
      </w:pPr>
      <w:r>
        <w:t>Coordinated due diligence between buyers, sellers, their accountants and solicitors, holding deals together through queries on stock, plant and equipment, leases and employee entitlements.</w:t>
      </w:r>
    </w:p>
    <w:p>
      <w:pPr>
        <w:pStyle w:val="ListBullet"/>
        <w:spacing w:after="80" w:line="276" w:lineRule="auto"/>
      </w:pPr>
      <w:r>
        <w:t>Negotiated sale terms including stock at settlement, vendor finance and handover periods, and increased the number of listings that reached unconditional agreement.</w:t>
      </w:r>
    </w:p>
    <w:p>
      <w:pPr>
        <w:pStyle w:val="ListBullet"/>
        <w:spacing w:after="240" w:line="276" w:lineRule="auto"/>
      </w:pPr>
      <w:r>
        <w:t>Maintained listing pipelines and buyer follow-up schedules in Rex Software and Salesforce so no qualified buyer went a fortnight without contact.</w:t>
      </w:r>
    </w:p>
    <w:p>
      <w:pPr>
        <w:spacing w:before="280" w:after="120"/>
        <w:jc w:val="left"/>
        <w:pBdr>
          <w:bottom w:val="single" w:sz="6" w:space="4" w:color="DFDED8"/>
        </w:pBdr>
      </w:pPr>
      <w:r>
        <w:rPr>
          <w:b/>
          <w:color w:val="2F62D9"/>
          <w:sz w:val="22"/>
        </w:rPr>
        <w:t>EDUCATION</w:t>
      </w:r>
    </w:p>
    <w:p>
      <w:pPr>
        <w:spacing w:before="0" w:after="200"/>
        <w:jc w:val="left"/>
      </w:pPr>
      <w:r>
        <w:t>Certificate IV in Real Estate Practice (business broking stream) or a diploma or bachelor degree in commerce, accounting, finance or business, plus a current real estate or business agent licence issued by the relevant state regulator.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