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Cardiothoracic Surgeon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Cardiothoracic surgeon with FRACS and extensive experience in coronary artery bypass, valve repair, and thoracic oncology. Committed to patient-centred care and leading multidisciplinary teams in high-pressure public and private hospital settings.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Patient care and support   •   Coronary artery bypass grafting   •   Heart valve repair and replacement   •   Thoracic and oesophageal surgery   •   Intensive care management   •   Epic   •   Cerner   •   Sectra PACS   •   da Vinci Surgical System   •   Problem solving   •   Attention to detail   •   Written communication   •   People leadership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Cardiothoracic Surgeon</w:t>
      </w:r>
      <w:r>
        <w:t>, [Company Name], [City]</w:t>
      </w:r>
      <w:r>
        <w:rPr>
          <w:i/>
        </w:rPr>
        <w:tab/>
        <w:t>[Month Year] – [Month Year / Present]</w:t>
      </w:r>
    </w:p>
    <w:p>
      <w:pPr>
        <w:pStyle w:val="ListBullet"/>
        <w:spacing w:after="80" w:line="276" w:lineRule="auto"/>
      </w:pPr>
      <w:r>
        <w:t>Performed over 150 coronary artery bypass and valve procedures annually as part of a high-volume tertiary centre.</w:t>
      </w:r>
    </w:p>
    <w:p>
      <w:pPr>
        <w:pStyle w:val="ListBullet"/>
        <w:spacing w:after="80" w:line="276" w:lineRule="auto"/>
      </w:pPr>
      <w:r>
        <w:t>Led a multidisciplinary team of registrars, nurses and perfusionists during complex cardiac surgery, maintaining a low complication rate.</w:t>
      </w:r>
    </w:p>
    <w:p>
      <w:pPr>
        <w:pStyle w:val="ListBullet"/>
        <w:spacing w:after="80" w:line="276" w:lineRule="auto"/>
      </w:pPr>
      <w:r>
        <w:t>Reduced average postoperative length of stay for elective bypass patients from seven days to five by implementing an enhanced recovery after surgery protocol.</w:t>
      </w:r>
    </w:p>
    <w:p>
      <w:pPr>
        <w:pStyle w:val="ListBullet"/>
        <w:spacing w:after="80" w:line="276" w:lineRule="auto"/>
      </w:pPr>
      <w:r>
        <w:t>Managed a thoracic oncology clinic, assessing and operating on patients with lung and oesophageal cancer.</w:t>
      </w:r>
    </w:p>
    <w:p>
      <w:pPr>
        <w:pStyle w:val="ListBullet"/>
        <w:spacing w:after="80" w:line="276" w:lineRule="auto"/>
      </w:pPr>
      <w:r>
        <w:t>Supervised and mentored surgical registrars and fellows, supporting their progression through RACS training.</w:t>
      </w:r>
    </w:p>
    <w:p>
      <w:pPr>
        <w:pStyle w:val="ListBullet"/>
        <w:spacing w:after="240" w:line="276" w:lineRule="auto"/>
      </w:pPr>
      <w:r>
        <w:t>Coordinated postoperative care in intensive care, including ventilator management and haemodynamic support.</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internship and residency, then specialist training in cardiothoracic surgery through the Royal Australasian College of Surgeons (RACS), leading to Fellowship (FRACS).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