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Case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Case manager experienced in assessing client needs, developing individualised care plans and coordinating access to services across health, disability and community sectors. Comfortable working with people facing complex or vulnerable circumstances, balancing client advocacy with agency and funding compliance requirements. Known for clear documentation and steady follow-through on referrals and monitoring.</w:t>
      </w:r>
    </w:p>
    <w:p>
      <w:pPr>
        <w:spacing w:before="280" w:after="120"/>
        <w:jc w:val="left"/>
        <w:pBdr>
          <w:bottom w:val="single" w:sz="6" w:space="4" w:color="DFDED8"/>
        </w:pBdr>
      </w:pPr>
      <w:r>
        <w:rPr>
          <w:b/>
          <w:color w:val="2F62D9"/>
          <w:sz w:val="22"/>
        </w:rPr>
        <w:t>KEY SKILLS</w:t>
      </w:r>
    </w:p>
    <w:p>
      <w:pPr>
        <w:spacing w:before="0" w:after="200"/>
        <w:jc w:val="left"/>
      </w:pPr>
      <w:r>
        <w:t>Casework and client support   •   Care planning and coordination   •   Community engagement   •   Risk assessment   •   Stakeholder management   •   Case management software (e.g. Salesforce, Humm, CADS)   •   Electronic health records   •   Microsoft Office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Case Manager</w:t>
      </w:r>
      <w:r>
        <w:t>, [Company Name], [City]</w:t>
      </w:r>
      <w:r>
        <w:rPr>
          <w:i/>
        </w:rPr>
        <w:tab/>
        <w:t>[Month Year] – [Month Year / Present]</w:t>
      </w:r>
    </w:p>
    <w:p>
      <w:pPr>
        <w:pStyle w:val="ListBullet"/>
        <w:spacing w:after="80" w:line="276" w:lineRule="auto"/>
      </w:pPr>
      <w:r>
        <w:t>Assessed client circumstances, risks and support needs through structured interviews and home visits, prioritising cases requiring urgent intervention</w:t>
      </w:r>
    </w:p>
    <w:p>
      <w:pPr>
        <w:pStyle w:val="ListBullet"/>
        <w:spacing w:after="80" w:line="276" w:lineRule="auto"/>
      </w:pPr>
      <w:r>
        <w:t>Developed individualised care and service plans in consultation with clients and families, aligning goals with available funding and service options</w:t>
      </w:r>
    </w:p>
    <w:p>
      <w:pPr>
        <w:pStyle w:val="ListBullet"/>
        <w:spacing w:after="80" w:line="276" w:lineRule="auto"/>
      </w:pPr>
      <w:r>
        <w:t>Coordinated referrals across housing, health, disability and community providers, keeping clients moving through the service system rather than stalled on waitlists</w:t>
      </w:r>
    </w:p>
    <w:p>
      <w:pPr>
        <w:pStyle w:val="ListBullet"/>
        <w:spacing w:after="80" w:line="276" w:lineRule="auto"/>
      </w:pPr>
      <w:r>
        <w:t>Monitored client wellbeing and progress against care plans on an ongoing basis, adjusting interventions as circumstances changed</w:t>
      </w:r>
    </w:p>
    <w:p>
      <w:pPr>
        <w:pStyle w:val="ListBullet"/>
        <w:spacing w:after="240" w:line="276" w:lineRule="auto"/>
      </w:pPr>
      <w:r>
        <w:t>Maintained case notes and outcome records in line with agency and funding body requirements, supporting internal audits and reporting</w:t>
      </w:r>
    </w:p>
    <w:p>
      <w:pPr>
        <w:spacing w:before="280" w:after="120"/>
        <w:jc w:val="left"/>
        <w:pBdr>
          <w:bottom w:val="single" w:sz="6" w:space="4" w:color="DFDED8"/>
        </w:pBdr>
      </w:pPr>
      <w:r>
        <w:rPr>
          <w:b/>
          <w:color w:val="2F62D9"/>
          <w:sz w:val="22"/>
        </w:rPr>
        <w:t>EDUCATION</w:t>
      </w:r>
    </w:p>
    <w:p>
      <w:pPr>
        <w:spacing w:before="0" w:after="200"/>
        <w:jc w:val="left"/>
      </w:pPr>
      <w:r>
        <w:t>Most case managers hold a bachelor degree in social work, human services, psychology or community services (around half of the workforce), with a substantial share entering via postgraduate study or a diploma in community services combined with relevant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