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Chief Financial Officer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Chief financial officer with a background spanning financial reporting, tax, treasury and strategic planning. Experienced in leading finance teams, managing external audit and regulatory relationships, and presenting financial performance and risk to boards. Comfortable working alongside a chief executive on capital decisions and long-term investment strategy.</w:t>
      </w:r>
    </w:p>
    <w:p>
      <w:pPr>
        <w:spacing w:before="280" w:after="120"/>
        <w:jc w:val="left"/>
        <w:pBdr>
          <w:bottom w:val="single" w:sz="6" w:space="4" w:color="DFDED8"/>
        </w:pBdr>
      </w:pPr>
      <w:r>
        <w:rPr>
          <w:b/>
          <w:color w:val="2F62D9"/>
          <w:sz w:val="22"/>
        </w:rPr>
        <w:t>KEY SKILLS</w:t>
      </w:r>
    </w:p>
    <w:p>
      <w:pPr>
        <w:spacing w:before="0" w:after="200"/>
        <w:jc w:val="left"/>
      </w:pPr>
      <w:r>
        <w:t>Financial reporting   •   Tax compliance and planning   •   Auditing and assurance   •   Budgeting and forecasting   •   Financial analysis and modelling   •   Strategy development   •   SAP or Oracle ERP systems   •   Excel and financial modelling   •   XBRL and disclosure management platforms   •   Treasury management systems   •   People leadership   •   Stakeholder management   •   Board reporting   •   Capital planning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Chief Financial Officer</w:t>
      </w:r>
      <w:r>
        <w:t>, [Company Name], [City]</w:t>
      </w:r>
      <w:r>
        <w:rPr>
          <w:i/>
        </w:rPr>
        <w:tab/>
        <w:t>[Month Year] – [Month Year / Present]</w:t>
      </w:r>
    </w:p>
    <w:p>
      <w:pPr>
        <w:pStyle w:val="ListBullet"/>
        <w:spacing w:after="80" w:line="276" w:lineRule="auto"/>
      </w:pPr>
      <w:r>
        <w:t>Directed financial strategy and long-term capital planning, working with the chief executive on major investment decisions and capital structure.</w:t>
      </w:r>
    </w:p>
    <w:p>
      <w:pPr>
        <w:pStyle w:val="ListBullet"/>
        <w:spacing w:after="80" w:line="276" w:lineRule="auto"/>
      </w:pPr>
      <w:r>
        <w:t>Oversaw preparation of financial statements and regulatory filings, delivering audit-ready accounts ahead of statutory deadlines and managing the relationship with external auditors.</w:t>
      </w:r>
    </w:p>
    <w:p>
      <w:pPr>
        <w:pStyle w:val="ListBullet"/>
        <w:spacing w:after="80" w:line="276" w:lineRule="auto"/>
      </w:pPr>
      <w:r>
        <w:t>Led finance teams through budget season, improving forecast accuracy by embedding driver-based models across business units.</w:t>
      </w:r>
    </w:p>
    <w:p>
      <w:pPr>
        <w:pStyle w:val="ListBullet"/>
        <w:spacing w:after="80" w:line="276" w:lineRule="auto"/>
      </w:pPr>
      <w:r>
        <w:t>Presented financial performance, risk and capital position to the board each reporting cycle, translating complex financial information into clear strategic commentary.</w:t>
      </w:r>
    </w:p>
    <w:p>
      <w:pPr>
        <w:pStyle w:val="ListBullet"/>
        <w:spacing w:after="80" w:line="276" w:lineRule="auto"/>
      </w:pPr>
      <w:r>
        <w:t>Managed relationships with banking partners and tax advisors, including covenant reporting, facility negotiations and tax planning.</w:t>
      </w:r>
    </w:p>
    <w:p>
      <w:pPr>
        <w:pStyle w:val="ListBullet"/>
        <w:spacing w:after="80" w:line="276" w:lineRule="auto"/>
      </w:pPr>
      <w:r>
        <w:t>Built finance team capability and succession, mentoring financial controllers and analysts as the business scaled.</w:t>
      </w:r>
    </w:p>
    <w:p>
      <w:pPr>
        <w:pStyle w:val="ListBullet"/>
        <w:spacing w:after="240" w:line="276" w:lineRule="auto"/>
      </w:pPr>
      <w:r>
        <w:t>Streamlined group consolidation and reporting through SAP, reducing manual journals and improving data integrity.</w:t>
      </w:r>
    </w:p>
    <w:p>
      <w:pPr>
        <w:spacing w:before="280" w:after="120"/>
        <w:jc w:val="left"/>
        <w:pBdr>
          <w:bottom w:val="single" w:sz="6" w:space="4" w:color="DFDED8"/>
        </w:pBdr>
      </w:pPr>
      <w:r>
        <w:rPr>
          <w:b/>
          <w:color w:val="2F62D9"/>
          <w:sz w:val="22"/>
        </w:rPr>
        <w:t>EDUCATION</w:t>
      </w:r>
    </w:p>
    <w:p>
      <w:pPr>
        <w:spacing w:before="0" w:after="200"/>
        <w:jc w:val="left"/>
      </w:pPr>
      <w:r>
        <w:t>Typically a bachelor degree in accounting, finance or commerce, often followed by a postgraduate qualification such as an MBA or master's in finance. Professional certification as a Chartered Accountant (CA ANZ) or CPA (CPA Australia) is common, and many CFOs also complete the Australian Institute of Company Directors' course.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