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Chief Information Security Officer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Chief information security officer with executive-level experience setting security strategy, governing cyber risk and leading incident response across regulated environments. Translates technical risk into board-ready decisions and builds security functions that align with business objectives and compliance obligations. Known for strengthening security posture while managing budget and stakeholder expectations.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Cyber security   •   Risk and internal controls   •   Regulatory compliance   •   Strategy development   •   Security Information and Event Management (SIEM) platforms   •   Identity and Access Management (IAM) systems   •   Vulnerability scanning and patch management tools   •   Risk management frameworks (NIST, ISO 27001)   •   Stakeholder management   •   People leadership   •   Written communication   •   Problem solving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Chief Information Security Officer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Developed and executed a multi-year security strategy that aligned with organisational risk appetite, resulting in a measurable reduction in critical vulnerabilities across core systems.</w:t>
      </w:r>
    </w:p>
    <w:p>
      <w:pPr>
        <w:pStyle w:val="ListBullet"/>
        <w:spacing w:after="80" w:line="276" w:lineRule="auto"/>
      </w:pPr>
      <w:r>
        <w:t>Led cross-functional incident response for a major ransomware event, containing the threat and restoring services within agreed recovery time objectives.</w:t>
      </w:r>
    </w:p>
    <w:p>
      <w:pPr>
        <w:pStyle w:val="ListBullet"/>
        <w:spacing w:after="80" w:line="276" w:lineRule="auto"/>
      </w:pPr>
      <w:r>
        <w:t>Directed an ISO 27001 certification program, closing gaps in access controls and patch management and achieving accreditation on the first external audit.</w:t>
      </w:r>
    </w:p>
    <w:p>
      <w:pPr>
        <w:pStyle w:val="ListBullet"/>
        <w:spacing w:after="80" w:line="276" w:lineRule="auto"/>
      </w:pPr>
      <w:r>
        <w:t>Restructured the security team into clear risk ownership domains, improving accountability and reducing duplication of effort across security operations.</w:t>
      </w:r>
    </w:p>
    <w:p>
      <w:pPr>
        <w:pStyle w:val="ListBullet"/>
        <w:spacing w:after="240" w:line="276" w:lineRule="auto"/>
      </w:pPr>
      <w:r>
        <w:t>Presented regular security posture reports to the board, securing funding for identity and access management uplift and vulnerability management tooling.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degree in information technology, computer science or a related field, with many chief information security officers also holding postgraduate qualifications in cyber security, risk management or business administration.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