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Civil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Civil engineer with experience taking infrastructure projects from concept through to construction, moving between CAD-based design work and on-site inspection. Comfortable working across roads, drainage and building infrastructure, with a focus on meeting Australian Standards and keeping projects on budget. Known for catching design issues early and adapting when site conditions change.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CAD and technical drawing (AutoCAD, Civil 3D)   •   Structural analysis (STAAD Pro)   •   Hydraulic and stormwater modelling (HEC-RAS)   •   Geotechnical site investigation   •   Field inspection and testing   •   Project cost estimation and scheduling   •   Building codes and standards (NCC, AS standards)   •   Stakeholder management   •   GPS and surveying equipment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Civil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road and drainage infrastructure layouts in Civil 3D, identifying clashes with existing services before construction started and avoiding on-site rework</w:t>
      </w:r>
    </w:p>
    <w:p>
      <w:pPr>
        <w:pStyle w:val="ListBullet"/>
        <w:spacing w:after="80" w:line="276" w:lineRule="auto"/>
      </w:pPr>
      <w:r>
        <w:t>Carried out geotechnical site investigations and translated soil test results into foundation design recommendations</w:t>
      </w:r>
    </w:p>
    <w:p>
      <w:pPr>
        <w:pStyle w:val="ListBullet"/>
        <w:spacing w:after="80" w:line="276" w:lineRule="auto"/>
      </w:pPr>
      <w:r>
        <w:t>Prepared cost estimates and construction timelines for infrastructure packages, keeping delivery tracking against budget</w:t>
      </w:r>
    </w:p>
    <w:p>
      <w:pPr>
        <w:pStyle w:val="ListBullet"/>
        <w:spacing w:after="80" w:line="276" w:lineRule="auto"/>
      </w:pPr>
      <w:r>
        <w:t>Inspected completed civil works against project specifications and Australian Standards, signing off on compliance before handover</w:t>
      </w:r>
    </w:p>
    <w:p>
      <w:pPr>
        <w:pStyle w:val="ListBullet"/>
        <w:spacing w:after="240" w:line="276" w:lineRule="auto"/>
      </w:pPr>
      <w:r>
        <w:t>Coordinated with architects, contractors and council planners to resolve design conflicts before they reached site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(Civil), accredited by Engineers Australia; most employers also expect progress toward Chartered status (CPEng) or, in Queensland, RPEQ registration.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