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Clinical Coder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Clinical Coder with a solid grounding in health records and a careful eye for documentation that does not quite add up. Codes inpatient, day surgery and specialist caseloads using ICD-10-AM and the Australian Coding Standards, and works directly with clinicians to resolve unclear entries before a record is abstracted. Comfortable with the data quality checks and activity based funding reporting that sit behind coded data.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ICD-10-AM diagnosis and procedure coding   •   Application of the Australian Coding Standards   •   Clinical documentation review and analysis   •   Clinician query writing and follow-up   •   Casemix and activity based funding data   •   Medical terminology and anatomy   •   Patient administration system data entry   •   Regulatory and privacy compliance in health records   •   3M Codefinder   •   TurboCoder   •   iPM   •   Cerner PowerChart   •   Microsoft Excel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Clinical Coder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Code an average of 45 inpatient and day surgery episodes a week across medical, surgical and specialist areas, maintaining an audit accuracy rate above the team benchmark.</w:t>
      </w:r>
    </w:p>
    <w:p>
      <w:pPr>
        <w:pStyle w:val="ListBullet"/>
        <w:spacing w:after="80" w:line="276" w:lineRule="auto"/>
      </w:pPr>
      <w:r>
        <w:t>Query clinicians directly when documentation is ambiguous, resolving most clarifications before the record is abstracted rather than after it is returned for rework.</w:t>
      </w:r>
    </w:p>
    <w:p>
      <w:pPr>
        <w:pStyle w:val="ListBullet"/>
        <w:spacing w:after="80" w:line="276" w:lineRule="auto"/>
      </w:pPr>
      <w:r>
        <w:t>Built a quick-reference sheet covering the Australian Coding Standards changes affecting our main specialties, which cut the volume of coding queries escalated to the coding manager during the update period.</w:t>
      </w:r>
    </w:p>
    <w:p>
      <w:pPr>
        <w:pStyle w:val="ListBullet"/>
        <w:spacing w:after="80" w:line="276" w:lineRule="auto"/>
      </w:pPr>
      <w:r>
        <w:t>Enter and reconcile coded data in iPM against discharge lists each week, picking up uncoded records before they affect the monthly submission.</w:t>
      </w:r>
    </w:p>
    <w:p>
      <w:pPr>
        <w:pStyle w:val="ListBullet"/>
        <w:spacing w:after="80" w:line="276" w:lineRule="auto"/>
      </w:pPr>
      <w:r>
        <w:t>Trained two new coders on the 3M Codefinder workflow and our internal query escalation steps, bringing both to an independent caseload within their first three months.</w:t>
      </w:r>
    </w:p>
    <w:p>
      <w:pPr>
        <w:pStyle w:val="ListBullet"/>
        <w:spacing w:after="240" w:line="276" w:lineRule="auto"/>
      </w:pPr>
      <w:r>
        <w:t>Reviewed de-identified records as part of internal audit cycles and documented the coding rationale so feedback could be shared with the wider team.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IV in Clinical Coding, or a health information management degree, with many coders entering from a health administration, nursing or medical records background and continuing professional development through HIMAA.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