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Clinical Geneticist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Clinical Geneticist with FRACP and extensive experience in diagnosing and managing inherited conditions across paediatric and adult settings. Skilled in genomic test interpretation, variant classification, and family-centred genetic counselling. Committed to multidisciplinary care and teaching the next generation of genetics registrars.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Patient care and support   •   Clinical assessment and treatment   •   Counselling and support work   •   Health education and advice   •   Genomic test interpretation   •   Variant classification using ACMG guidelines   •   Progeny Clinical   •   ClinVar   •   HGMD Professional   •   EPIC   •   GeneMatcher   •   Multidisciplinary team coordination   •   Empathy and interpersonal care   •   Written communication   •   Attention to detail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Clinical Geneticist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Assessed and diagnosed patients with suspected genetic conditions, integrating clinical findings with genomic test results to guide management and surveillance.</w:t>
      </w:r>
    </w:p>
    <w:p>
      <w:pPr>
        <w:pStyle w:val="ListBullet"/>
        <w:spacing w:after="80" w:line="276" w:lineRule="auto"/>
      </w:pPr>
      <w:r>
        <w:t>Interpreted and classified genetic variants using ACMG guidelines and databases such as ClinVar and HGMD Professional, ensuring accurate and timely reporting.</w:t>
      </w:r>
    </w:p>
    <w:p>
      <w:pPr>
        <w:pStyle w:val="ListBullet"/>
        <w:spacing w:after="80" w:line="276" w:lineRule="auto"/>
      </w:pPr>
      <w:r>
        <w:t>Counselled over 200 families per year on genetic risk, recurrence, and reproductive options, adapting communication to diverse cultural and educational needs.</w:t>
      </w:r>
    </w:p>
    <w:p>
      <w:pPr>
        <w:pStyle w:val="ListBullet"/>
        <w:spacing w:after="80" w:line="276" w:lineRule="auto"/>
      </w:pPr>
      <w:r>
        <w:t>Coordinated multidisciplinary care for over 50 complex cases annually, working with genetic counsellors, paediatricians, and neurologists to improve continuity for families.</w:t>
      </w:r>
    </w:p>
    <w:p>
      <w:pPr>
        <w:pStyle w:val="ListBullet"/>
        <w:spacing w:after="80" w:line="276" w:lineRule="auto"/>
      </w:pPr>
      <w:r>
        <w:t>Supervised and mentored genetics registrars and advanced trainees, providing structured feedback on case management and variant interpretation.</w:t>
      </w:r>
    </w:p>
    <w:p>
      <w:pPr>
        <w:pStyle w:val="ListBullet"/>
        <w:spacing w:after="240" w:line="276" w:lineRule="auto"/>
      </w:pPr>
      <w:r>
        <w:t>Contributed to clinical genetics research, presenting findings at departmental meetings and collaborating on gene discovery through GeneMatcher.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of Medicine, Bachelor of Surgery (MBBS) or Doctor of Medicine (MD), followed by RACP advanced training in clinical genetics and fellowship (FRACP). Many clinical geneticists also hold a Master's or PhD in human genetics.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