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Commodity Trader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Commodity trader who reads supply and demand signals across physical and derivative markets and manages positions within strict risk limits. Comfortable on Bloomberg Terminal and Reuters Eikon, with modelling in Excel/VBA and Python, and a disciplined approach to trade reconciliation and benchmark reporting. Works across energy, metals or agricultural markets, translating weather, shipping and harvest data into trades that respect internal controls.</w:t>
      </w:r>
    </w:p>
    <w:p>
      <w:pPr>
        <w:spacing w:before="280" w:after="120"/>
        <w:jc w:val="left"/>
        <w:pBdr>
          <w:bottom w:val="single" w:sz="6" w:space="4" w:color="DFDED8"/>
        </w:pBdr>
      </w:pPr>
      <w:r>
        <w:rPr>
          <w:b/>
          <w:color w:val="2F62D9"/>
          <w:sz w:val="22"/>
        </w:rPr>
        <w:t>KEY SKILLS</w:t>
      </w:r>
    </w:p>
    <w:p>
      <w:pPr>
        <w:spacing w:before="0" w:after="200"/>
        <w:jc w:val="left"/>
      </w:pPr>
      <w:r>
        <w:t>Financial analysis and modelling   •   Risk and internal controls   •   Data analysis   •   Economic modelling   •   Bloomberg Terminal   •   Reuters Eikon   •   Excel/VBA   •   Trading platforms (CME, ICE, LME, ASX 24)   •   Python and R for analytics   •   Trade reconciliation and mark-to-market   •   Futures, options and spot market execution   •   Supply and demand forecasting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Commodity Trader</w:t>
      </w:r>
      <w:r>
        <w:t>, [Company Name], [City]</w:t>
      </w:r>
      <w:r>
        <w:rPr>
          <w:i/>
        </w:rPr>
        <w:tab/>
        <w:t>[Month Year] – [Month Year / Present]</w:t>
      </w:r>
    </w:p>
    <w:p>
      <w:pPr>
        <w:pStyle w:val="ListBullet"/>
        <w:spacing w:after="80" w:line="276" w:lineRule="auto"/>
      </w:pPr>
      <w:r>
        <w:t>Monitored Bloomberg Terminal and Reuters Eikon feeds to identify price moves across spot, futures and options markets, and placed orders before the opportunity passed.</w:t>
      </w:r>
    </w:p>
    <w:p>
      <w:pPr>
        <w:pStyle w:val="ListBullet"/>
        <w:spacing w:after="80" w:line="276" w:lineRule="auto"/>
      </w:pPr>
      <w:r>
        <w:t>Read weather forecasts, harvest reports and shipping data for covered commodities, adjusting positions ahead of events that could move prices within minutes.</w:t>
      </w:r>
    </w:p>
    <w:p>
      <w:pPr>
        <w:pStyle w:val="ListBullet"/>
        <w:spacing w:after="80" w:line="276" w:lineRule="auto"/>
      </w:pPr>
      <w:r>
        <w:t>Checked proposed trades against internal limits and risk controls, escalating any breach risk to the desk head before approval.</w:t>
      </w:r>
    </w:p>
    <w:p>
      <w:pPr>
        <w:pStyle w:val="ListBullet"/>
        <w:spacing w:after="80" w:line="276" w:lineRule="auto"/>
      </w:pPr>
      <w:r>
        <w:t>Reconciled the day's trades and compared performance against the relevant benchmark, producing a short written summary for the following morning's meeting.</w:t>
      </w:r>
    </w:p>
    <w:p>
      <w:pPr>
        <w:pStyle w:val="ListBullet"/>
        <w:spacing w:after="80" w:line="276" w:lineRule="auto"/>
      </w:pPr>
      <w:r>
        <w:t>Built an Excel/VBA tool to automate mark-to-market checks, reducing manual reconciliation time and cutting keying errors.</w:t>
      </w:r>
    </w:p>
    <w:p>
      <w:pPr>
        <w:pStyle w:val="ListBullet"/>
        <w:spacing w:after="240" w:line="276" w:lineRule="auto"/>
      </w:pPr>
      <w:r>
        <w:t>Worked with risk and operations teams to resolve settlement queries, keeping the desk within ASIC market integrity and internal compliance requirements.</w:t>
      </w:r>
    </w:p>
    <w:p>
      <w:pPr>
        <w:spacing w:before="280" w:after="120"/>
        <w:jc w:val="left"/>
        <w:pBdr>
          <w:bottom w:val="single" w:sz="6" w:space="4" w:color="DFDED8"/>
        </w:pBdr>
      </w:pPr>
      <w:r>
        <w:rPr>
          <w:b/>
          <w:color w:val="2F62D9"/>
          <w:sz w:val="22"/>
        </w:rPr>
        <w:t>EDUCATION</w:t>
      </w:r>
    </w:p>
    <w:p>
      <w:pPr>
        <w:spacing w:before="0" w:after="200"/>
        <w:jc w:val="left"/>
      </w:pPr>
      <w:r>
        <w:t>Bachelor degree in commerce, finance, economics or a related field is the typical entry path, with some traders adding a postgraduate qualification such as a Master of Finance or the CFA program.</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