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Community Services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Community services manager with experience leading funded programs across disability, aged care and family support. Combines operational oversight of frontline teams with budget, compliance and partnership responsibilities. Known for keeping services accountable to funders while staying grounded in community needs.</w:t>
      </w:r>
    </w:p>
    <w:p>
      <w:pPr>
        <w:spacing w:before="280" w:after="120"/>
        <w:jc w:val="left"/>
        <w:pBdr>
          <w:bottom w:val="single" w:sz="6" w:space="4" w:color="DFDED8"/>
        </w:pBdr>
      </w:pPr>
      <w:r>
        <w:rPr>
          <w:b/>
          <w:color w:val="2F62D9"/>
          <w:sz w:val="22"/>
        </w:rPr>
        <w:t>KEY SKILLS</w:t>
      </w:r>
    </w:p>
    <w:p>
      <w:pPr>
        <w:spacing w:before="0" w:after="200"/>
        <w:jc w:val="left"/>
      </w:pPr>
      <w:r>
        <w:t>Budgeting and forecasting   •   Regulatory compliance   •   Risk and internal controls   •   Operations management   •   People leadership   •   Stakeholder management   •   Written communication   •   AlayaCare   •   Salesforce   •   Microsoft Excel   •   CareMaster   •   Power BI</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Community Services Manager</w:t>
      </w:r>
      <w:r>
        <w:t>, [Company Name], [City]</w:t>
      </w:r>
      <w:r>
        <w:rPr>
          <w:i/>
        </w:rPr>
        <w:tab/>
        <w:t>[Month Year] – [Month Year / Present]</w:t>
      </w:r>
    </w:p>
    <w:p>
      <w:pPr>
        <w:pStyle w:val="ListBullet"/>
        <w:spacing w:after="80" w:line="276" w:lineRule="auto"/>
      </w:pPr>
      <w:r>
        <w:t>Led a team of 25 support workers and coordinators across three community programs, maintaining service continuity through a period of funding transition.</w:t>
      </w:r>
    </w:p>
    <w:p>
      <w:pPr>
        <w:pStyle w:val="ListBullet"/>
        <w:spacing w:after="80" w:line="276" w:lineRule="auto"/>
      </w:pPr>
      <w:r>
        <w:t>Managed program budgets with multiple funding streams, improving forecasting accuracy and ensuring all acquittals were submitted on time.</w:t>
      </w:r>
    </w:p>
    <w:p>
      <w:pPr>
        <w:pStyle w:val="ListBullet"/>
        <w:spacing w:after="80" w:line="276" w:lineRule="auto"/>
      </w:pPr>
      <w:r>
        <w:t>Introduced a new client record system that reduced administrative duplication and freed up frontline staff for direct support.</w:t>
      </w:r>
    </w:p>
    <w:p>
      <w:pPr>
        <w:pStyle w:val="ListBullet"/>
        <w:spacing w:after="80" w:line="276" w:lineRule="auto"/>
      </w:pPr>
      <w:r>
        <w:t>Built partnerships with local health services and council teams to streamline referrals and reduce wait times for new clients.</w:t>
      </w:r>
    </w:p>
    <w:p>
      <w:pPr>
        <w:pStyle w:val="ListBullet"/>
        <w:spacing w:after="240" w:line="276" w:lineRule="auto"/>
      </w:pPr>
      <w:r>
        <w:t>Ensured services met quality standards and funding conditions, leading preparation for external audits with no major findings.</w:t>
      </w:r>
    </w:p>
    <w:p>
      <w:pPr>
        <w:spacing w:before="280" w:after="120"/>
        <w:jc w:val="left"/>
        <w:pBdr>
          <w:bottom w:val="single" w:sz="6" w:space="4" w:color="DFDED8"/>
        </w:pBdr>
      </w:pPr>
      <w:r>
        <w:rPr>
          <w:b/>
          <w:color w:val="2F62D9"/>
          <w:sz w:val="22"/>
        </w:rPr>
        <w:t>EDUCATION</w:t>
      </w:r>
    </w:p>
    <w:p>
      <w:pPr>
        <w:spacing w:before="0" w:after="200"/>
        <w:jc w:val="left"/>
      </w:pPr>
      <w:r>
        <w:t>Bachelor of Social Work or Bachelor of Human Services, with many managers also holding a Diploma of Community Services or a postgraduate qualification in management or social work.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