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Corporate Lawyer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Corporate lawyer experienced in drafting commercial contracts, advising on regulatory compliance and supporting mergers and acquisitions through legal due diligence. Comfortable working directly with senior management and boards to flag legal risk before it becomes a commercial problem. Strong grounding in corporate governance, dispute resolution and legal research.</w:t>
      </w:r>
    </w:p>
    <w:p>
      <w:pPr>
        <w:spacing w:before="280" w:after="120"/>
        <w:jc w:val="left"/>
        <w:pBdr>
          <w:bottom w:val="single" w:sz="6" w:space="4" w:color="DFDED8"/>
        </w:pBdr>
      </w:pPr>
      <w:r>
        <w:rPr>
          <w:b/>
          <w:color w:val="2F62D9"/>
          <w:sz w:val="22"/>
        </w:rPr>
        <w:t>KEY SKILLS</w:t>
      </w:r>
    </w:p>
    <w:p>
      <w:pPr>
        <w:spacing w:before="0" w:after="200"/>
        <w:jc w:val="left"/>
      </w:pPr>
      <w:r>
        <w:t>Drafting and contracts   •   Legal research   •   Regulatory compliance   •   Corporate governance advice   •   Litigation and dispute support   •   Risk and internal controls   •   LexisNexis   •   Westlaw   •   Contract management software   •   Legal practice management systems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Corporate Lawyer</w:t>
      </w:r>
      <w:r>
        <w:t>, [Company Name], [City]</w:t>
      </w:r>
      <w:r>
        <w:rPr>
          <w:i/>
        </w:rPr>
        <w:tab/>
        <w:t>[Month Year] – [Month Year / Present]</w:t>
      </w:r>
    </w:p>
    <w:p>
      <w:pPr>
        <w:pStyle w:val="ListBullet"/>
        <w:spacing w:after="80" w:line="276" w:lineRule="auto"/>
      </w:pPr>
      <w:r>
        <w:t>Drafted and negotiated commercial contracts and supply agreements, using contract management software to standardise templates and cut turnaround time on routine agreements</w:t>
      </w:r>
    </w:p>
    <w:p>
      <w:pPr>
        <w:pStyle w:val="ListBullet"/>
        <w:spacing w:after="80" w:line="276" w:lineRule="auto"/>
      </w:pPr>
      <w:r>
        <w:t>Led legal due diligence workstreams for acquisitions, identifying material risks and reporting findings directly to the board ahead of completion</w:t>
      </w:r>
    </w:p>
    <w:p>
      <w:pPr>
        <w:pStyle w:val="ListBullet"/>
        <w:spacing w:after="80" w:line="276" w:lineRule="auto"/>
      </w:pPr>
      <w:r>
        <w:t>Advised business units on regulatory compliance obligations under the Corporations Act 2001 and ASIC guidance, resolving disclosure issues before they escalated</w:t>
      </w:r>
    </w:p>
    <w:p>
      <w:pPr>
        <w:pStyle w:val="ListBullet"/>
        <w:spacing w:after="80" w:line="276" w:lineRule="auto"/>
      </w:pPr>
      <w:r>
        <w:t>Managed litigation support for commercial disputes, briefing senior management on risk exposure and coordinating instructions to external counsel</w:t>
      </w:r>
    </w:p>
    <w:p>
      <w:pPr>
        <w:pStyle w:val="ListBullet"/>
        <w:spacing w:after="240" w:line="276" w:lineRule="auto"/>
      </w:pPr>
      <w:r>
        <w:t>Conducted legal research and risk analysis on complex transactions using LexisNexis and Westlaw to support commercial decision-making</w:t>
      </w:r>
    </w:p>
    <w:p>
      <w:pPr>
        <w:spacing w:before="280" w:after="120"/>
        <w:jc w:val="left"/>
        <w:pBdr>
          <w:bottom w:val="single" w:sz="6" w:space="4" w:color="DFDED8"/>
        </w:pBdr>
      </w:pPr>
      <w:r>
        <w:rPr>
          <w:b/>
          <w:color w:val="2F62D9"/>
          <w:sz w:val="22"/>
        </w:rPr>
        <w:t>EDUCATION</w:t>
      </w:r>
    </w:p>
    <w:p>
      <w:pPr>
        <w:spacing w:before="0" w:after="200"/>
        <w:jc w:val="left"/>
      </w:pPr>
      <w:r>
        <w:t>Bachelor of Laws (LLB) or Juris Doctor, admission to practice as a solicitor in an Australian state or territory following Practical Legal Training (PLT), commonly followed by postgraduate study such as a Master of Laws or a Graduate Diploma in Applied Corporate Governance.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