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Credit Analyst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Credit Analyst with a background in financial statement analysis and risk assessment, experienced in preparing credit reports and risk ratings that support sound lending decisions. Comfortable working across consumer and commercial lending books, with a solid grasp of Australian lending regulation and internal credit policy. Known for attention to detail when reconciling financial data against stated repayment capacity.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Financial analysis and modelling   •   Risk and internal controls   •   Regulatory compliance (NCCP Act, APRA prudential standards)   •   Data analysis and reporting   •   Credit risk management software (Moody's Analytics)   •   Excel financial modelling   •   Power BI dashboarding   •   ASIC company and title searches   •   Banking core systems   •   Stakeholder management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Credit Analyst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Analysed financial statements and credit histories across consumer and business loan applications, assigning risk ratings that directly informed approval decisions.</w:t>
      </w:r>
    </w:p>
    <w:p>
      <w:pPr>
        <w:pStyle w:val="ListBullet"/>
        <w:spacing w:after="80" w:line="276" w:lineRule="auto"/>
      </w:pPr>
      <w:r>
        <w:t>Prepared detailed credit reports for loan managers, setting out repayment capacity, collateral position and recommended terms.</w:t>
      </w:r>
    </w:p>
    <w:p>
      <w:pPr>
        <w:pStyle w:val="ListBullet"/>
        <w:spacing w:after="80" w:line="276" w:lineRule="auto"/>
      </w:pPr>
      <w:r>
        <w:t>Monitored an active loan portfolio for early warning signs of default, flagging at-risk accounts ahead of missed repayments.</w:t>
      </w:r>
    </w:p>
    <w:p>
      <w:pPr>
        <w:pStyle w:val="ListBullet"/>
        <w:spacing w:after="80" w:line="276" w:lineRule="auto"/>
      </w:pPr>
      <w:r>
        <w:t>Conducted field visits and background checks to verify client and collateral information, improving the reliability of risk assessments.</w:t>
      </w:r>
    </w:p>
    <w:p>
      <w:pPr>
        <w:pStyle w:val="ListBullet"/>
        <w:spacing w:after="240" w:line="276" w:lineRule="auto"/>
      </w:pPr>
      <w:r>
        <w:t>Applied lending regulations and internal credit policy consistently across assessments, supporting clean outcomes in internal and external audits.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Bachelor degree in commerce, finance, economics or a related field is the typical entry pathway, with a substantial share of analysts also holding or working toward postgraduate qualifications or industry certification through bodies such as FINSIA or CPA Australia.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