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Cricket Coach</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Cricket coach with a background in technique development across batting, bowling, fielding and wicketkeeping, working with junior pathway squads and senior club sides. Builds training programs that pair technical correction with tactical planning, using video and performance data to make sessions specific to the players in front of me. Comfortable working alongside physiotherapists and strength staff to manage workload across a long season.</w:t>
      </w:r>
    </w:p>
    <w:p>
      <w:pPr>
        <w:spacing w:before="280" w:after="120"/>
        <w:jc w:val="left"/>
        <w:pBdr>
          <w:bottom w:val="single" w:sz="6" w:space="4" w:color="DFDED8"/>
        </w:pBdr>
      </w:pPr>
      <w:r>
        <w:rPr>
          <w:b/>
          <w:color w:val="2F62D9"/>
          <w:sz w:val="22"/>
        </w:rPr>
        <w:t>KEY SKILLS</w:t>
      </w:r>
    </w:p>
    <w:p>
      <w:pPr>
        <w:spacing w:before="0" w:after="200"/>
        <w:jc w:val="left"/>
      </w:pPr>
      <w:r>
        <w:t>Batting, bowling, fielding and wicketkeeping technique coaching   •   Training session design and periodised program planning   •   Match tactics, batting order and bowling plan development   •   Performance data and video analysis   •   Hudl Sportscode and PitchVision   •   CricHQ match and competition management   •   Catapult GPS workload monitoring   •   Hawk-Eye ball-tracking interpretation   •   Player workload and injury risk management with support staff   •   Mental preparation and team culture mentoring   •   Cricket Australia coach accreditation pathway   •   Working with Children Check and child safe practice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Cricket Coach</w:t>
      </w:r>
      <w:r>
        <w:t>, [Company Name], [City]</w:t>
      </w:r>
      <w:r>
        <w:rPr>
          <w:i/>
        </w:rPr>
        <w:tab/>
        <w:t>[Month Year] – [Month Year / Present]</w:t>
      </w:r>
    </w:p>
    <w:p>
      <w:pPr>
        <w:pStyle w:val="ListBullet"/>
        <w:spacing w:after="80" w:line="276" w:lineRule="auto"/>
      </w:pPr>
      <w:r>
        <w:t>Planned and delivered weekly training blocks for a junior pathway squad, splitting sessions between technique work, fielding drills and scenario-based net batting</w:t>
      </w:r>
    </w:p>
    <w:p>
      <w:pPr>
        <w:pStyle w:val="ListBullet"/>
        <w:spacing w:after="80" w:line="276" w:lineRule="auto"/>
      </w:pPr>
      <w:r>
        <w:t>Reviewed match footage in Hudl Sportscode after each round and gave players individual clips with two or three specific adjustments to work on before the next session</w:t>
      </w:r>
    </w:p>
    <w:p>
      <w:pPr>
        <w:pStyle w:val="ListBullet"/>
        <w:spacing w:after="80" w:line="276" w:lineRule="auto"/>
      </w:pPr>
      <w:r>
        <w:t>Rebuilt a club's bowling rotation around Catapult workload data, which reduced the number of bowlers missing matches late in the season</w:t>
      </w:r>
    </w:p>
    <w:p>
      <w:pPr>
        <w:pStyle w:val="ListBullet"/>
        <w:spacing w:after="80" w:line="276" w:lineRule="auto"/>
      </w:pPr>
      <w:r>
        <w:t>Set batting orders and fielding placements for a finals campaign after reviewing opposition bowling trends on PitchVision and CricHQ scorecards</w:t>
      </w:r>
    </w:p>
    <w:p>
      <w:pPr>
        <w:pStyle w:val="ListBullet"/>
        <w:spacing w:after="80" w:line="276" w:lineRule="auto"/>
      </w:pPr>
      <w:r>
        <w:t>Mentored a group of first-year senior players on preparation routines and game-day discipline, and most held their spot in the side through the second half of the season</w:t>
      </w:r>
    </w:p>
    <w:p>
      <w:pPr>
        <w:pStyle w:val="ListBullet"/>
        <w:spacing w:after="240" w:line="276" w:lineRule="auto"/>
      </w:pPr>
      <w:r>
        <w:t>Liaised with the club physiotherapist on a return-to-bowling plan for two players coming back from side strains, adjusting their loads week by week</w:t>
      </w:r>
    </w:p>
    <w:p>
      <w:pPr>
        <w:spacing w:before="280" w:after="120"/>
        <w:jc w:val="left"/>
        <w:pBdr>
          <w:bottom w:val="single" w:sz="6" w:space="4" w:color="DFDED8"/>
        </w:pBdr>
      </w:pPr>
      <w:r>
        <w:rPr>
          <w:b/>
          <w:color w:val="2F62D9"/>
          <w:sz w:val="22"/>
        </w:rPr>
        <w:t>EDUCATION</w:t>
      </w:r>
    </w:p>
    <w:p>
      <w:pPr>
        <w:spacing w:before="0" w:after="200"/>
        <w:jc w:val="left"/>
      </w:pPr>
      <w:r>
        <w:t>Most cricket coaches enter through a Certificate III or IV in sport coaching or a diploma of sport coaching, and many also hold a bachelor degree in sport science, physical education or education. Cricket Australia coach accreditation (Community, Representative and Level 3 High Performance) and a current Working with Children Check are expected, with first aid certification usually required by clubs and associations.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