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Croupier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Croupier with experience dealing blackjack, roulette and baccarat in a busy Australian casino. Skilled at accurate payout calculation, chip reconciliation and monitoring play for regulatory compliance. Known for keeping games fair and fast while providing friendly service to patrons.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 with state gaming and liquor legislation   •   Security operations and suspicious play monitoring   •   Aristocrat Oasis 360   •   IGT Advantage   •   Casino management system (CMS)   •   RFID chip tracking systems   •   Automatic card shufflers   •   Customer service in high-pressure gaming environments   •   Attention to detail in bet calculation and payout   •   Written communication for shift reports and incident logs   •   Problem solving during disputes or irregular play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Croupier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Dealt blackjack, roulette and baccarat across multiple tables, maintaining an average game speed that kept patrons engaged and the pit moving.</w:t>
      </w:r>
    </w:p>
    <w:p>
      <w:pPr>
        <w:pStyle w:val="ListBullet"/>
        <w:spacing w:after="80" w:line="276" w:lineRule="auto"/>
      </w:pPr>
      <w:r>
        <w:t>Calculated payouts and settled bets accurately, reconciling chip floats at the start and end of shifts without discrepancies.</w:t>
      </w:r>
    </w:p>
    <w:p>
      <w:pPr>
        <w:pStyle w:val="ListBullet"/>
        <w:spacing w:after="80" w:line="276" w:lineRule="auto"/>
      </w:pPr>
      <w:r>
        <w:t>Explained game rules and house procedures to new players, reducing dealer call-overs for rule clarifications.</w:t>
      </w:r>
    </w:p>
    <w:p>
      <w:pPr>
        <w:pStyle w:val="ListBullet"/>
        <w:spacing w:after="80" w:line="276" w:lineRule="auto"/>
      </w:pPr>
      <w:r>
        <w:t>Monitored play for irregular bets and rule breaches, escalating suspicious activity to security and pit managers.</w:t>
      </w:r>
    </w:p>
    <w:p>
      <w:pPr>
        <w:pStyle w:val="ListBullet"/>
        <w:spacing w:after="80" w:line="276" w:lineRule="auto"/>
      </w:pPr>
      <w:r>
        <w:t>Balanced chips and floats at the start and end of shifts, ensuring accurate reconciliation and compliance with gaming regulations.</w:t>
      </w:r>
    </w:p>
    <w:p>
      <w:pPr>
        <w:pStyle w:val="ListBullet"/>
        <w:spacing w:after="80" w:line="276" w:lineRule="auto"/>
      </w:pPr>
      <w:r>
        <w:t>Provided friendly and efficient service, receiving commendations from pit managers for professionalism under pressure.</w:t>
      </w:r>
    </w:p>
    <w:p>
      <w:pPr>
        <w:pStyle w:val="ListBullet"/>
        <w:spacing w:after="240" w:line="276" w:lineRule="auto"/>
      </w:pPr>
      <w:r>
        <w:t>Trained new croupiers on table procedures and chip handling, helping them pass their dealer assessments.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Hospitality (Gaming) or Diploma of Hospitality Management, with casino-specific dealer training. Many croupiers also complete internal gaming school and hold a current RCG or RSG certificate.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