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Curriculum Coordinator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Curriculum Coordinator with experience aligning course content to national and vocational standards while working across teaching teams to keep programs current and evidence-based. Comfortable moving between policy documents, achievement data and classroom-level detail to close gaps in learning outcomes. Known for coordinating input from subject-matter experts and turning it into coherent, usable teaching resources.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Curriculum and lesson design   •   Student assessment and reporting   •   Data analysis   •   Stakeholder management   •   Regulatory compliance   •   Project management   •   Learning Management Systems (Canvas, Moodle, Blackboard)   •   Curriculum mapping software   •   Microsoft 365 / Office Suite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Curriculum Coordinator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Redesigned course outlines across a subject area to align with Australian Curriculum requirements, reducing duplicated content across year levels</w:t>
      </w:r>
    </w:p>
    <w:p>
      <w:pPr>
        <w:pStyle w:val="ListBullet"/>
        <w:spacing w:after="80" w:line="276" w:lineRule="auto"/>
      </w:pPr>
      <w:r>
        <w:t>Consulted with teaching staff and industry stakeholders to update learning objectives, incorporating feedback from over a dozen subject-matter experts into a single revised scope and sequence</w:t>
      </w:r>
    </w:p>
    <w:p>
      <w:pPr>
        <w:pStyle w:val="ListBullet"/>
        <w:spacing w:after="80" w:line="276" w:lineRule="auto"/>
      </w:pPr>
      <w:r>
        <w:t>Analysed student achievement data and survey feedback each semester to identify recurring curriculum gaps and prioritise revision cycles</w:t>
      </w:r>
    </w:p>
    <w:p>
      <w:pPr>
        <w:pStyle w:val="ListBullet"/>
        <w:spacing w:after="80" w:line="276" w:lineRule="auto"/>
      </w:pPr>
      <w:r>
        <w:t>Coordinated development of assessment tasks and teaching resources with subject teams, standardising templates across the department to speed up moderation</w:t>
      </w:r>
    </w:p>
    <w:p>
      <w:pPr>
        <w:pStyle w:val="ListBullet"/>
        <w:spacing w:after="240" w:line="276" w:lineRule="auto"/>
      </w:pPr>
      <w:r>
        <w:t>Led a curriculum quality improvement cycle that fed directly into the next year's program review, with recommendations adopted by teaching staff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education, a related discipline or vocational training (the most common pathway), often followed by postgraduate study in curriculum design, education leadership or a relevant Graduate Certificate; teacher registration with the relevant state or territory authority is typically required in school settings.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