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Cyber Security GRC Specialist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Cyber security GRC specialist with a focus on aligning security controls with frameworks such as the ISM, Essential Eight and ISO 27001. Experienced in risk assessment, policy development and audit coordination across complex organisations. Skilled at translating regulatory obligations into practical advice for business and technology teams.</w:t>
      </w:r>
    </w:p>
    <w:p>
      <w:pPr>
        <w:spacing w:before="280" w:after="120"/>
        <w:jc w:val="left"/>
        <w:pBdr>
          <w:bottom w:val="single" w:sz="6" w:space="4" w:color="DFDED8"/>
        </w:pBdr>
      </w:pPr>
      <w:r>
        <w:rPr>
          <w:b/>
          <w:color w:val="2F62D9"/>
          <w:sz w:val="22"/>
        </w:rPr>
        <w:t>KEY SKILLS</w:t>
      </w:r>
    </w:p>
    <w:p>
      <w:pPr>
        <w:spacing w:before="0" w:after="200"/>
        <w:jc w:val="left"/>
      </w:pPr>
      <w:r>
        <w:t>Regulatory compliance   •   Risk and internal controls   •   Cyber security   •   Auditing and assurance   •   Policy analysis and advice   •   Regulatory and administrative law   •   ServiceNow GRC   •   RSA Archer   •   OneTrust   •   Microsoft Purview   •   Excel   •   Stakeholder management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Cyber Security GRC Specialist</w:t>
      </w:r>
      <w:r>
        <w:t>, [Company Name], [City]</w:t>
      </w:r>
      <w:r>
        <w:rPr>
          <w:i/>
        </w:rPr>
        <w:tab/>
        <w:t>[Month Year] – [Month Year / Present]</w:t>
      </w:r>
    </w:p>
    <w:p>
      <w:pPr>
        <w:pStyle w:val="ListBullet"/>
        <w:spacing w:after="80" w:line="276" w:lineRule="auto"/>
      </w:pPr>
      <w:r>
        <w:t>Assessed compliance with the Essential Eight across a portfolio of 30 business units, identifying control gaps and coordinating remediation with technology teams.</w:t>
      </w:r>
    </w:p>
    <w:p>
      <w:pPr>
        <w:pStyle w:val="ListBullet"/>
        <w:spacing w:after="80" w:line="276" w:lineRule="auto"/>
      </w:pPr>
      <w:r>
        <w:t>Developed and maintained security policies, standards and procedures aligned with the ISM and ISO 27001, reducing policy exceptions from 40 to 25 within a year.</w:t>
      </w:r>
    </w:p>
    <w:p>
      <w:pPr>
        <w:pStyle w:val="ListBullet"/>
        <w:spacing w:after="80" w:line="276" w:lineRule="auto"/>
      </w:pPr>
      <w:r>
        <w:t>Conducted risk assessments and maintained risk registers for critical systems, ensuring emerging risks were escalated to executive committees.</w:t>
      </w:r>
    </w:p>
    <w:p>
      <w:pPr>
        <w:pStyle w:val="ListBullet"/>
        <w:spacing w:after="80" w:line="276" w:lineRule="auto"/>
      </w:pPr>
      <w:r>
        <w:t>Coordinated internal and external audits and certification activities, achieving ISO 27001 recertification with zero major findings.</w:t>
      </w:r>
    </w:p>
    <w:p>
      <w:pPr>
        <w:pStyle w:val="ListBullet"/>
        <w:spacing w:after="240" w:line="276" w:lineRule="auto"/>
      </w:pPr>
      <w:r>
        <w:t>Advised business units on security controls and remediation actions, translating complex requirements into clear guidance that cut repeat queries to the security team.</w:t>
      </w:r>
    </w:p>
    <w:p>
      <w:pPr>
        <w:spacing w:before="280" w:after="120"/>
        <w:jc w:val="left"/>
        <w:pBdr>
          <w:bottom w:val="single" w:sz="6" w:space="4" w:color="DFDED8"/>
        </w:pBdr>
      </w:pPr>
      <w:r>
        <w:rPr>
          <w:b/>
          <w:color w:val="2F62D9"/>
          <w:sz w:val="22"/>
        </w:rPr>
        <w:t>EDUCATION</w:t>
      </w:r>
    </w:p>
    <w:p>
      <w:pPr>
        <w:spacing w:before="0" w:after="200"/>
        <w:jc w:val="left"/>
      </w:pPr>
      <w:r>
        <w:t>Bachelor degree in information technology, cyber security, law or a related field; many practitioners also hold postgraduate qualifications or industry certifications such as CISSP, CISM or ISO 27001 Lead Auditor.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