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Debt Collector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Debt collector with experience across consumer and commercial collections, using phone, written and field contact to resolve overdue accounts. Skilled in negotiating payment plans and settlements, assessing hardship, and keeping every interaction compliant with Australian credit and privacy law. Known for accurate records and a calm approach to difficult conversations.</w:t>
      </w:r>
    </w:p>
    <w:p>
      <w:pPr>
        <w:spacing w:before="280" w:after="120"/>
        <w:jc w:val="left"/>
        <w:pBdr>
          <w:bottom w:val="single" w:sz="6" w:space="4" w:color="DFDED8"/>
        </w:pBdr>
      </w:pPr>
      <w:r>
        <w:rPr>
          <w:b/>
          <w:color w:val="2F62D9"/>
          <w:sz w:val="22"/>
        </w:rPr>
        <w:t>KEY SKILLS</w:t>
      </w:r>
    </w:p>
    <w:p>
      <w:pPr>
        <w:spacing w:before="0" w:after="200"/>
        <w:jc w:val="left"/>
      </w:pPr>
      <w:r>
        <w:t>Regulatory compliance (Privacy Act 1988, ACCC/ASIC Debt Collection Guideline)   •   Financial reporting   •   Negotiation of payment plans and settlements   •   Hardship assessment and referral   •   Skip tracing and debtor verification   •   Collections management software   •   CRM systems   •   Phone systems and diallers   •   Spreadsheet applications   •   Document management systems   •   Written communication   •   Problem solving   •   Attention to detail   •   Stakeholder management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Debt Collector</w:t>
      </w:r>
      <w:r>
        <w:t>, [Company Name], [City]</w:t>
      </w:r>
      <w:r>
        <w:rPr>
          <w:i/>
        </w:rPr>
        <w:tab/>
        <w:t>[Month Year] – [Month Year / Present]</w:t>
      </w:r>
    </w:p>
    <w:p>
      <w:pPr>
        <w:pStyle w:val="ListBullet"/>
        <w:spacing w:after="80" w:line="276" w:lineRule="auto"/>
      </w:pPr>
      <w:r>
        <w:t>Managed a portfolio of overdue consumer and commercial accounts, contacting debtors by phone, letter and field call to establish affordable payment plans.</w:t>
      </w:r>
    </w:p>
    <w:p>
      <w:pPr>
        <w:pStyle w:val="ListBullet"/>
        <w:spacing w:after="80" w:line="276" w:lineRule="auto"/>
      </w:pPr>
      <w:r>
        <w:t>Negotiated settlements and debt restructuring arrangements within delegated authority, documenting each offer, counteroffer and outcome in the collections system.</w:t>
      </w:r>
    </w:p>
    <w:p>
      <w:pPr>
        <w:pStyle w:val="ListBullet"/>
        <w:spacing w:after="80" w:line="276" w:lineRule="auto"/>
      </w:pPr>
      <w:r>
        <w:t>Verified debtor identity and outstanding balances before discussing account details, maintaining compliance with the Privacy Act and the ACCC/ASIC Debt Collection Guideline.</w:t>
      </w:r>
    </w:p>
    <w:p>
      <w:pPr>
        <w:pStyle w:val="ListBullet"/>
        <w:spacing w:after="80" w:line="276" w:lineRule="auto"/>
      </w:pPr>
      <w:r>
        <w:t>Assessed hardship disclosures and referred eligible debtors to internal hardship teams or external financial counselling services.</w:t>
      </w:r>
    </w:p>
    <w:p>
      <w:pPr>
        <w:pStyle w:val="ListBullet"/>
        <w:spacing w:after="80" w:line="276" w:lineRule="auto"/>
      </w:pPr>
      <w:r>
        <w:t>Escalated suitable accounts to legal counsel or court proceedings with complete and accurate records, reducing avoidable delays in recovery.</w:t>
      </w:r>
    </w:p>
    <w:p>
      <w:pPr>
        <w:pStyle w:val="ListBullet"/>
        <w:spacing w:after="80" w:line="276" w:lineRule="auto"/>
      </w:pPr>
      <w:r>
        <w:t>Updated collection records after every interaction, keeping account histories audit-ready for complaints handling and AFCA responses.</w:t>
      </w:r>
    </w:p>
    <w:p>
      <w:pPr>
        <w:pStyle w:val="ListBullet"/>
        <w:spacing w:after="240" w:line="276" w:lineRule="auto"/>
      </w:pPr>
      <w:r>
        <w:t>Met daily contact and follow-up targets while keeping call quality and compliance standards in place.</w:t>
      </w:r>
    </w:p>
    <w:p>
      <w:pPr>
        <w:spacing w:before="280" w:after="120"/>
        <w:jc w:val="left"/>
        <w:pBdr>
          <w:bottom w:val="single" w:sz="6" w:space="4" w:color="DFDED8"/>
        </w:pBdr>
      </w:pPr>
      <w:r>
        <w:rPr>
          <w:b/>
          <w:color w:val="2F62D9"/>
          <w:sz w:val="22"/>
        </w:rPr>
        <w:t>EDUCATION</w:t>
      </w:r>
    </w:p>
    <w:p>
      <w:pPr>
        <w:spacing w:before="0" w:after="200"/>
        <w:jc w:val="left"/>
      </w:pPr>
      <w:r>
        <w:t>Year 12 is the usual entry point, with on-the-job training in collections practice. A Certificate III in Financial Services or a Certificate IV in Credit Management is often valued for progression.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