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Dentist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Registered dentist with hands-on experience across diagnostic assessment, preventive care and restorative procedures. Comfortable managing a full clinical list, explaining treatment options in plain language, and maintaining the infection control and record-keeping standards required under the Dental Board of Australia's Code of Conduct. Known for calm patient management and steady clinical technique.</w:t>
      </w:r>
    </w:p>
    <w:p>
      <w:pPr>
        <w:spacing w:before="280" w:after="120"/>
        <w:jc w:val="left"/>
        <w:pBdr>
          <w:bottom w:val="single" w:sz="6" w:space="4" w:color="DFDED8"/>
        </w:pBdr>
      </w:pPr>
      <w:r>
        <w:rPr>
          <w:b/>
          <w:color w:val="2F62D9"/>
          <w:sz w:val="22"/>
        </w:rPr>
        <w:t>KEY SKILLS</w:t>
      </w:r>
    </w:p>
    <w:p>
      <w:pPr>
        <w:spacing w:before="0" w:after="200"/>
        <w:jc w:val="left"/>
      </w:pPr>
      <w:r>
        <w:t>Clinical assessment and diagnosis   •   Restorative and surgical procedures (fillings, extractions, root canals)   •   Infection control and sterilisation protocols   •   Diagnostic imaging and X-ray interpretation   •   Patient communication and anxiety management   •   Dental drill and ultrasonic scaler operation   •   Intraoral camera use for diagnosis and patient education   •   Practice management software (scheduling, clinical notes, billing)   •   Regulatory compliance and clinical record-keeping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Dentist</w:t>
      </w:r>
      <w:r>
        <w:t>, [Company Name], [City]</w:t>
      </w:r>
      <w:r>
        <w:rPr>
          <w:i/>
        </w:rPr>
        <w:tab/>
        <w:t>[Month Year] – [Month Year / Present]</w:t>
      </w:r>
    </w:p>
    <w:p>
      <w:pPr>
        <w:pStyle w:val="ListBullet"/>
        <w:spacing w:after="80" w:line="276" w:lineRule="auto"/>
      </w:pPr>
      <w:r>
        <w:t>Examined and diagnosed dental conditions across a mixed patient caseload, using clinical assessment and diagnostic imaging to plan evidence-based treatment</w:t>
      </w:r>
    </w:p>
    <w:p>
      <w:pPr>
        <w:pStyle w:val="ListBullet"/>
        <w:spacing w:after="80" w:line="276" w:lineRule="auto"/>
      </w:pPr>
      <w:r>
        <w:t>Performed preventive, restorative and surgical procedures including fillings, extractions and root canals under strict infection control protocols</w:t>
      </w:r>
    </w:p>
    <w:p>
      <w:pPr>
        <w:pStyle w:val="ListBullet"/>
        <w:spacing w:after="80" w:line="276" w:lineRule="auto"/>
      </w:pPr>
      <w:r>
        <w:t>Explained treatment options and costs in plain language, improving patient uptake of recommended treatment plans and reducing appointment no-shows</w:t>
      </w:r>
    </w:p>
    <w:p>
      <w:pPr>
        <w:pStyle w:val="ListBullet"/>
        <w:spacing w:after="80" w:line="276" w:lineRule="auto"/>
      </w:pPr>
      <w:r>
        <w:t>Maintained accurate clinical records in practice management software, supporting compliance with Dental Board of Australia record-keeping requirements</w:t>
      </w:r>
    </w:p>
    <w:p>
      <w:pPr>
        <w:pStyle w:val="ListBullet"/>
        <w:spacing w:after="80" w:line="276" w:lineRule="auto"/>
      </w:pPr>
      <w:r>
        <w:t>Managed anxious and paediatric patients with tailored communication approaches, reducing procedure cancellations and improving return visit rates</w:t>
      </w:r>
    </w:p>
    <w:p>
      <w:pPr>
        <w:pStyle w:val="ListBullet"/>
        <w:spacing w:after="240" w:line="276" w:lineRule="auto"/>
      </w:pPr>
      <w:r>
        <w:t>Supervised infection control and sterilisation processes in line with practice regulations and workplace health and safety requirements</w:t>
      </w:r>
    </w:p>
    <w:p>
      <w:pPr>
        <w:spacing w:before="280" w:after="120"/>
        <w:jc w:val="left"/>
        <w:pBdr>
          <w:bottom w:val="single" w:sz="6" w:space="4" w:color="DFDED8"/>
        </w:pBdr>
      </w:pPr>
      <w:r>
        <w:rPr>
          <w:b/>
          <w:color w:val="2F62D9"/>
          <w:sz w:val="22"/>
        </w:rPr>
        <w:t>EDUCATION</w:t>
      </w:r>
    </w:p>
    <w:p>
      <w:pPr>
        <w:spacing w:before="0" w:after="200"/>
        <w:jc w:val="left"/>
      </w:pPr>
      <w:r>
        <w:t>Bachelor of Dentistry / Doctor of Dental Medicine (or Bachelor of Oral Health pathway followed by postgraduate dental qualification), plus current registration with the Dental Board of Australia (AHPRA) and ongoing CPD to maintain registration.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