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Dento-Maxillofacial Radiologist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dental specialist registered with the Dental Board of Australia through AHPRA, focused on interpreting cone beam CT, panoramic and MRI imaging of the teeth, jaws and facial bones. I work closely with dentists, oral surgeons, orthodontists and ENT specialists to provide clear, actionable reports that guide diagnosis, implant planning and surgery.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Clinical assessment and treatment   •   Patient care and support   •   Regulatory compliance   •   Cone beam CT (CBCT) scanners   •   DICOM viewing software   •   Planmeca Romexis   •   Carestream Dental imaging software   •   3D Slicer   •   Attention to detail   •   Written communication   •   Problem solving   •   Digital literacy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Dento-Maxillofacial Radiologist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Interpreted and reported on cone beam CT, panoramic and MRI scans of the teeth, jaws and facial bones, providing diagnostic guidance to oral surgeons, orthodontists and ENT specialists.</w:t>
      </w:r>
    </w:p>
    <w:p>
      <w:pPr>
        <w:pStyle w:val="ListBullet"/>
        <w:spacing w:after="80" w:line="276" w:lineRule="auto"/>
      </w:pPr>
      <w:r>
        <w:t>Advised referring dentists on imaging selection criteria and radiation dose optimisation, reducing unnecessary repeat imaging across a multi-chair practice.</w:t>
      </w:r>
    </w:p>
    <w:p>
      <w:pPr>
        <w:pStyle w:val="ListBullet"/>
        <w:spacing w:after="80" w:line="276" w:lineRule="auto"/>
      </w:pPr>
      <w:r>
        <w:t>Maintained image quality assurance and radiation safety compliance for a clinic performing over 200 CBCT examinations each month.</w:t>
      </w:r>
    </w:p>
    <w:p>
      <w:pPr>
        <w:pStyle w:val="ListBullet"/>
        <w:spacing w:after="80" w:line="276" w:lineRule="auto"/>
      </w:pPr>
      <w:r>
        <w:t>Supervised radiologic examinations of the head and neck, mentoring junior radiographers in DICOM workflow and patient positioning.</w:t>
      </w:r>
    </w:p>
    <w:p>
      <w:pPr>
        <w:pStyle w:val="ListBullet"/>
        <w:spacing w:after="240" w:line="276" w:lineRule="auto"/>
      </w:pPr>
      <w:r>
        <w:t>Produced clear written reports using Planmeca Romexis and Carestream Dental software, cutting report turnaround from five days to two for urgent implant planning cases.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Dental Surgery or equivalent, followed by specialist training in dento-maxillofacial radiology (often a Doctor of Clinical Dentistry or equivalent) and registration as a specialist with the Dental Board of Australia through AHPRA.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