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Derivatives Trader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Derivatives trader with experience executing futures, options and swaps across equity, fixed income, commodity and currency markets. Skilled in pricing, risk management and regulatory compliance, with a strong focus on maintaining positions within capital and leverage limits. Comfortable working in fast-paced dealing rooms and using industry-standard trading and analytics platforms.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analysis and modelling   •   Risk and internal controls   •   Data analysis   •   Statistical modelling   •   Regulatory compliance   •   Bloomberg Terminal   •   Reuters Eikon   •   Python or C++ for pricing models   •   Murex or Calypso trading systems   •   Excel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Derivatives Trader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Executed derivatives trades across exchange and OTC markets, achieving competitive fill rates and minimal slippage.</w:t>
      </w:r>
    </w:p>
    <w:p>
      <w:pPr>
        <w:pStyle w:val="ListBullet"/>
        <w:spacing w:after="80" w:line="276" w:lineRule="auto"/>
      </w:pPr>
      <w:r>
        <w:t>Monitored open positions and managed risk exposure, ensuring daily value-at-risk stayed within approved limits.</w:t>
      </w:r>
    </w:p>
    <w:p>
      <w:pPr>
        <w:pStyle w:val="ListBullet"/>
        <w:spacing w:after="80" w:line="276" w:lineRule="auto"/>
      </w:pPr>
      <w:r>
        <w:t>Analysed market data and economic indicators to identify trading opportunities, contributing to consistent P&amp;L performance.</w:t>
      </w:r>
    </w:p>
    <w:p>
      <w:pPr>
        <w:pStyle w:val="ListBullet"/>
        <w:spacing w:after="80" w:line="276" w:lineRule="auto"/>
      </w:pPr>
      <w:r>
        <w:t>Reconciled trades and reported positions against regulatory position limits, maintaining a zero-breach record.</w:t>
      </w:r>
    </w:p>
    <w:p>
      <w:pPr>
        <w:pStyle w:val="ListBullet"/>
        <w:spacing w:after="240" w:line="276" w:lineRule="auto"/>
      </w:pPr>
      <w:r>
        <w:t>Collaborated with risk and compliance teams to manage counterparty credit risk and collateral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finance, economics, mathematics or engineering; a postgraduate qualification such as a Master of Finance or Master of Applied Finance is common, and professional certifications like the CFA charter are valued.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