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Dermatologist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Dermatologist with specialist training through the Royal Australasian College of Physicians, experienced in diagnosing and treating skin cancer, eczema, psoriasis and acne. Skilled in dermoscopy, minor surgical procedures and biologic therapies, with a strong commitment to patient education and preventive care. Works collaboratively in public hospital clinics and private practice settings.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Medication management   •   Health education and advice   •   MedicalDirector   •   Best Practice Software   •   MoleMax dermoscopy system   •   FotoFinder imaging system   •   Attention to detail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Dermatologist</w:t>
      </w:r>
      <w:r>
        <w:t>, [Company Name], [City]</w:t>
      </w:r>
      <w:r>
        <w:rPr>
          <w:i/>
        </w:rPr>
        <w:tab/>
        <w:t>[Month Year] – [Month Year / Present]</w:t>
      </w:r>
    </w:p>
    <w:p>
      <w:pPr>
        <w:pStyle w:val="ListBullet"/>
        <w:spacing w:after="80" w:line="276" w:lineRule="auto"/>
      </w:pPr>
      <w:r>
        <w:t>Diagnose and treat a wide range of dermatological conditions, including skin cancer, eczema, psoriasis and acne, in public hospital and private practice settings.</w:t>
      </w:r>
    </w:p>
    <w:p>
      <w:pPr>
        <w:pStyle w:val="ListBullet"/>
        <w:spacing w:after="80" w:line="276" w:lineRule="auto"/>
      </w:pPr>
      <w:r>
        <w:t>Perform skin biopsies, excisions and cryotherapy procedures, focusing on clear margins and optimal cosmetic outcomes.</w:t>
      </w:r>
    </w:p>
    <w:p>
      <w:pPr>
        <w:pStyle w:val="ListBullet"/>
        <w:spacing w:after="80" w:line="276" w:lineRule="auto"/>
      </w:pPr>
      <w:r>
        <w:t>Prescribe and manage topical, systemic and biologic treatments, monitoring patient response and adjusting therapy as needed.</w:t>
      </w:r>
    </w:p>
    <w:p>
      <w:pPr>
        <w:pStyle w:val="ListBullet"/>
        <w:spacing w:after="80" w:line="276" w:lineRule="auto"/>
      </w:pPr>
      <w:r>
        <w:t>Review pathology, allergy and patch test results to guide diagnosis and treatment planning, coordinating with pathologists and immunologists.</w:t>
      </w:r>
    </w:p>
    <w:p>
      <w:pPr>
        <w:pStyle w:val="ListBullet"/>
        <w:spacing w:after="80" w:line="276" w:lineRule="auto"/>
      </w:pPr>
      <w:r>
        <w:t>Advise patients on sun protection and skin cancer prevention, developing individualised care plans that improve adherence to treatment.</w:t>
      </w:r>
    </w:p>
    <w:p>
      <w:pPr>
        <w:pStyle w:val="ListBullet"/>
        <w:spacing w:after="240" w:line="276" w:lineRule="auto"/>
      </w:pPr>
      <w:r>
        <w:t>Streamlined triage for urgent skin cancer referrals, reducing waiting time from two weeks to four days.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residency, then completion of the Royal Australasian College of Physicians (RACP) specialist training program in dermatology leading to Fellowship (FRACP).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