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Dietitian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Practising Dietitian with experience assessing nutritional status, developing individualised care plans, and counselling patients across clinical and community settings. Comfortable managing complex caseloads involving chronic disease, malnutrition risk, and behaviour change, with a strong grounding in evidence-based practice and multidisciplinary collaboration.</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Patient counselling and health education   •   Nutrition Care Process documentation   •   Dietary analysis software   •   Food composition databases (AUSNUT/NUTTAB)   •   Electronic health records (EHR) systems   •   Telehealth service delivery   •   Stakeholder and multidisciplinary team management   •   Written clinical documentation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Dietitian</w:t>
      </w:r>
      <w:r>
        <w:t>, [Company Name], [City]</w:t>
      </w:r>
      <w:r>
        <w:rPr>
          <w:i/>
        </w:rPr>
        <w:tab/>
        <w:t>[Month Year] – [Month Year / Present]</w:t>
      </w:r>
    </w:p>
    <w:p>
      <w:pPr>
        <w:pStyle w:val="ListBullet"/>
        <w:spacing w:after="80" w:line="276" w:lineRule="auto"/>
      </w:pPr>
      <w:r>
        <w:t>Assessed nutritional status and medical history for patients referred from medical and surgical wards, identifying malnutrition risk and dietary needs within required clinical timeframes</w:t>
      </w:r>
    </w:p>
    <w:p>
      <w:pPr>
        <w:pStyle w:val="ListBullet"/>
        <w:spacing w:after="80" w:line="276" w:lineRule="auto"/>
      </w:pPr>
      <w:r>
        <w:t>Developed individualised meal plans and nutrition interventions for patients managing diabetes, renal disease and cardiovascular conditions, aligning care with broader medical treatment goals</w:t>
      </w:r>
    </w:p>
    <w:p>
      <w:pPr>
        <w:pStyle w:val="ListBullet"/>
        <w:spacing w:after="80" w:line="276" w:lineRule="auto"/>
      </w:pPr>
      <w:r>
        <w:t>Counselled patients and families on dietary behaviour change and disease self-management, adapting communication style for health literacy and cultural background</w:t>
      </w:r>
    </w:p>
    <w:p>
      <w:pPr>
        <w:pStyle w:val="ListBullet"/>
        <w:spacing w:after="80" w:line="276" w:lineRule="auto"/>
      </w:pPr>
      <w:r>
        <w:t>Monitored patient progress against nutrition care plans and adjusted interventions in response to clinical changes, supporting earlier identification of nutritional decline</w:t>
      </w:r>
    </w:p>
    <w:p>
      <w:pPr>
        <w:pStyle w:val="ListBullet"/>
        <w:spacing w:after="80" w:line="276" w:lineRule="auto"/>
      </w:pPr>
      <w:r>
        <w:t>Documented nutrition care using the Nutrition Care Process framework within electronic health records, maintaining accurate handover notes for continuity of care</w:t>
      </w:r>
    </w:p>
    <w:p>
      <w:pPr>
        <w:pStyle w:val="ListBullet"/>
        <w:spacing w:after="240" w:line="276" w:lineRule="auto"/>
      </w:pPr>
      <w:r>
        <w:t>Collaborated with medical, nursing and allied health staff in case conferences to coordinate integrated care plans for patients with complex needs</w:t>
      </w:r>
    </w:p>
    <w:p>
      <w:pPr>
        <w:spacing w:before="280" w:after="120"/>
        <w:jc w:val="left"/>
        <w:pBdr>
          <w:bottom w:val="single" w:sz="6" w:space="4" w:color="DFDED8"/>
        </w:pBdr>
      </w:pPr>
      <w:r>
        <w:rPr>
          <w:b/>
          <w:color w:val="2F62D9"/>
          <w:sz w:val="22"/>
        </w:rPr>
        <w:t>EDUCATION</w:t>
      </w:r>
    </w:p>
    <w:p>
      <w:pPr>
        <w:spacing w:before="0" w:after="200"/>
        <w:jc w:val="left"/>
      </w:pPr>
      <w:r>
        <w:t>Bachelor degree in Nutrition and Dietetics or Master of Dietetics (for graduate-entry pathways) from a Dietitians Australia accredited program, followed by registration as an Accredited Practising Dietitian (APD) through Dietitians Australia.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