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Director of Nursing</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Senior nursing leader with extensive experience in clinical governance, workforce management and patient safety across hospital and aged care settings. Combines deep clinical knowledge with operational leadership to drive quality improvement and regulatory compliance. Known for building high-performing nursing teams and managing budgets to deliver safe, person-centred care.</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Care planning and coordination   •   Regulatory compliance and accreditation   •   Budget management and forecasting   •   Infection control and hygiene   •   Clinical governance and patient safety   •   Nursing workforce leadership and rostering   •   Quality improvement and incident review   •   Stakeholder engagement and executive reporting   •   People leadership   •   Cerner Millennium   •   Epic   •   Microsoft Excel   •   Power BI   •   Kronos Workforce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Director of Nursing</w:t>
      </w:r>
      <w:r>
        <w:t>, [Company Name], [City]</w:t>
      </w:r>
      <w:r>
        <w:rPr>
          <w:i/>
        </w:rPr>
        <w:tab/>
        <w:t>[Month Year] – [Month Year / Present]</w:t>
      </w:r>
    </w:p>
    <w:p>
      <w:pPr>
        <w:pStyle w:val="ListBullet"/>
        <w:spacing w:after="80" w:line="276" w:lineRule="auto"/>
      </w:pPr>
      <w:r>
        <w:t>Led a nursing workforce of 90 across a 150-bed hospital, restructuring rosters to improve coverage and reduce overtime.</w:t>
      </w:r>
    </w:p>
    <w:p>
      <w:pPr>
        <w:pStyle w:val="ListBullet"/>
        <w:spacing w:after="80" w:line="276" w:lineRule="auto"/>
      </w:pPr>
      <w:r>
        <w:t>Chaired the clinical governance committee, reviewing incident reports and implementing corrective actions that lowered medication errors.</w:t>
      </w:r>
    </w:p>
    <w:p>
      <w:pPr>
        <w:pStyle w:val="ListBullet"/>
        <w:spacing w:after="80" w:line="276" w:lineRule="auto"/>
      </w:pPr>
      <w:r>
        <w:t>Developed and implemented a new care planning framework across aged care services, aligning documentation with ACQSC standards.</w:t>
      </w:r>
    </w:p>
    <w:p>
      <w:pPr>
        <w:pStyle w:val="ListBullet"/>
        <w:spacing w:after="80" w:line="276" w:lineRule="auto"/>
      </w:pPr>
      <w:r>
        <w:t>Managed the nursing budget for a multi-site health service, reallocating resources to meet fluctuating patient demand without compromising care.</w:t>
      </w:r>
    </w:p>
    <w:p>
      <w:pPr>
        <w:pStyle w:val="ListBullet"/>
        <w:spacing w:after="80" w:line="276" w:lineRule="auto"/>
      </w:pPr>
      <w:r>
        <w:t>Oversaw infection control audits during a COVID-19 outbreak, containing transmission across two wards.</w:t>
      </w:r>
    </w:p>
    <w:p>
      <w:pPr>
        <w:pStyle w:val="ListBullet"/>
        <w:spacing w:after="240" w:line="276" w:lineRule="auto"/>
      </w:pPr>
      <w:r>
        <w:t>Introduced a falls prevention program in a 120-bed aged care home, reducing falls from 12 to 6 per month over six months.</w:t>
      </w:r>
    </w:p>
    <w:p>
      <w:pPr>
        <w:spacing w:before="280" w:after="120"/>
        <w:jc w:val="left"/>
        <w:pBdr>
          <w:bottom w:val="single" w:sz="6" w:space="4" w:color="DFDED8"/>
        </w:pBdr>
      </w:pPr>
      <w:r>
        <w:rPr>
          <w:b/>
          <w:color w:val="2F62D9"/>
          <w:sz w:val="22"/>
        </w:rPr>
        <w:t>EDUCATION</w:t>
      </w:r>
    </w:p>
    <w:p>
      <w:pPr>
        <w:spacing w:before="0" w:after="200"/>
        <w:jc w:val="left"/>
      </w:pPr>
      <w:r>
        <w:t>Registered Nurse with current AHPRA registration, typically holding a postgraduate qualification in nursing leadership, health management or a related field, or a Bachelor of Nursing with extensive senior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