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Drama Teacher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Drama Teacher who plans and delivers practical performance programs across secondary year levels, from improvisation and devising through to senior production work. Combines directing experience with the everyday realities of classroom management, assessment moderation and pastoral care. Registered teacher committed to making a safe, inclusive space where students who would never speak up in English will stand on a stage.</w:t>
      </w:r>
    </w:p>
    <w:p>
      <w:pPr>
        <w:spacing w:before="280" w:after="120"/>
        <w:jc w:val="left"/>
        <w:pBdr>
          <w:bottom w:val="single" w:sz="6" w:space="4" w:color="DFDED8"/>
        </w:pBdr>
      </w:pPr>
      <w:r>
        <w:rPr>
          <w:b/>
          <w:color w:val="2F62D9"/>
          <w:sz w:val="22"/>
        </w:rPr>
        <w:t>KEY SKILLS</w:t>
      </w:r>
    </w:p>
    <w:p>
      <w:pPr>
        <w:spacing w:before="0" w:after="200"/>
        <w:jc w:val="left"/>
      </w:pPr>
      <w:r>
        <w:t>Lesson and unit design aligned to the Australian Curriculum: The Arts   •   Classroom management in large practical and performance-based classes   •   Student assessment and reporting against achievement standards   •   Directing and producing school productions and showcase events   •   Stagecraft instruction: lighting, sound and set design   •   Rehearsal scheduling and event coordination   •   Pastoral care and wellbeing support for students in creative subjects   •   Inclusive and differentiated practice for students of mixed experience and ability   •   Google Classroom   •   Microsoft Teams   •   Canva   •   QLab   •   Audacity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Drama Teacher</w:t>
      </w:r>
      <w:r>
        <w:t>, [Company Name], [City]</w:t>
      </w:r>
      <w:r>
        <w:rPr>
          <w:i/>
        </w:rPr>
        <w:tab/>
        <w:t>[Month Year] – [Month Year / Present]</w:t>
      </w:r>
    </w:p>
    <w:p>
      <w:pPr>
        <w:pStyle w:val="ListBullet"/>
        <w:spacing w:after="80" w:line="276" w:lineRule="auto"/>
      </w:pPr>
      <w:r>
        <w:t>Directed the annual school production across a cast and crew of more than 60 students, coordinating rehearsal schedules, set builds and technical runs through to four evening performances.</w:t>
      </w:r>
    </w:p>
    <w:p>
      <w:pPr>
        <w:pStyle w:val="ListBullet"/>
        <w:spacing w:after="80" w:line="276" w:lineRule="auto"/>
      </w:pPr>
      <w:r>
        <w:t>Rebuilt the Year 9 drama unit around improvisation and devising, giving students with no performance background a structured entry point and lifting completion of practical tasks.</w:t>
      </w:r>
    </w:p>
    <w:p>
      <w:pPr>
        <w:pStyle w:val="ListBullet"/>
        <w:spacing w:after="80" w:line="276" w:lineRule="auto"/>
      </w:pPr>
      <w:r>
        <w:t>Introduced QLab and Audacity into senior stagecraft units so students could program sound cues and edit their own recordings, reducing the technical support the production needed from other staff.</w:t>
      </w:r>
    </w:p>
    <w:p>
      <w:pPr>
        <w:pStyle w:val="ListBullet"/>
        <w:spacing w:after="80" w:line="276" w:lineRule="auto"/>
      </w:pPr>
      <w:r>
        <w:t>Assessed practical performances and written reflections against the achievement standards and moderated results with faculty colleagues to keep grading consistent across parallel classes.</w:t>
      </w:r>
    </w:p>
    <w:p>
      <w:pPr>
        <w:pStyle w:val="ListBullet"/>
        <w:spacing w:after="80" w:line="276" w:lineRule="auto"/>
      </w:pPr>
      <w:r>
        <w:t>Established warm-up routines and ensemble agreements that settled large practical classes quickly, cutting the time lost to disruptions before group work could begin.</w:t>
      </w:r>
    </w:p>
    <w:p>
      <w:pPr>
        <w:pStyle w:val="ListBullet"/>
        <w:spacing w:after="80" w:line="276" w:lineRule="auto"/>
      </w:pPr>
      <w:r>
        <w:t>Ran a lunchtime drama club and mentored students through regional drama festival entries, several of whom went on to study drama at tertiary level.</w:t>
      </w:r>
    </w:p>
    <w:p>
      <w:pPr>
        <w:pStyle w:val="ListBullet"/>
        <w:spacing w:after="240" w:line="276" w:lineRule="auto"/>
      </w:pPr>
      <w:r>
        <w:t>Supported students managing anxiety around performance through individual check-ins and alternative assessment arrangements, working alongside the school wellbeing team.</w:t>
      </w:r>
    </w:p>
    <w:p>
      <w:pPr>
        <w:spacing w:before="280" w:after="120"/>
        <w:jc w:val="left"/>
        <w:pBdr>
          <w:bottom w:val="single" w:sz="6" w:space="4" w:color="DFDED8"/>
        </w:pBdr>
      </w:pPr>
      <w:r>
        <w:rPr>
          <w:b/>
          <w:color w:val="2F62D9"/>
          <w:sz w:val="22"/>
        </w:rPr>
        <w:t>EDUCATION</w:t>
      </w:r>
    </w:p>
    <w:p>
      <w:pPr>
        <w:spacing w:before="0" w:after="200"/>
        <w:jc w:val="left"/>
      </w:pPr>
      <w:r>
        <w:t>Bachelor of Education (Secondary) with a Drama or Performing Arts teaching method, or a Bachelor of Arts in Drama or Theatre Studies followed by a Master of Teaching (Secondary); registration or accreditation with the relevant state or territory teaching authority, such as VIT, NESA, QCT or TRBWA, is required to teach in a school.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