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Education Reviewer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Education Reviewer with a teaching and quality assurance background across schools, registered training organisations and higher education. Experienced in testing curriculum documentation and teaching practice against national and state standards, then turning the evidence into reports that providers can actually act on. Comfortable working with regulators, executives and teaching staff in the same week.</w:t>
      </w:r>
    </w:p>
    <w:p>
      <w:pPr>
        <w:spacing w:before="280" w:after="120"/>
        <w:jc w:val="left"/>
        <w:pBdr>
          <w:bottom w:val="single" w:sz="6" w:space="4" w:color="DFDED8"/>
        </w:pBdr>
      </w:pPr>
      <w:r>
        <w:rPr>
          <w:b/>
          <w:color w:val="2F62D9"/>
          <w:sz w:val="22"/>
        </w:rPr>
        <w:t>KEY SKILLS</w:t>
      </w:r>
    </w:p>
    <w:p>
      <w:pPr>
        <w:spacing w:before="0" w:after="200"/>
        <w:jc w:val="left"/>
      </w:pPr>
      <w:r>
        <w:t>Curriculum and lesson design   •   Teaching and instruction   •   Student assessment and reporting   •   Policy analysis and advice   •   NVivo   •   Qualtrics   •   Microsoft Excel   •   SharePoint   •   Stakeholder management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Education Reviewer</w:t>
      </w:r>
      <w:r>
        <w:t>, [Company Name], [City]</w:t>
      </w:r>
      <w:r>
        <w:rPr>
          <w:i/>
        </w:rPr>
        <w:tab/>
        <w:t>[Month Year] – [Month Year / Present]</w:t>
      </w:r>
    </w:p>
    <w:p>
      <w:pPr>
        <w:pStyle w:val="ListBullet"/>
        <w:spacing w:after="80" w:line="276" w:lineRule="auto"/>
      </w:pPr>
      <w:r>
        <w:t>Reviewed curriculum and assessment documentation for a cluster of training providers against the Standards for RTOs, producing evaluation reports that providers used to revise their tools before the next audit cycle.</w:t>
      </w:r>
    </w:p>
    <w:p>
      <w:pPr>
        <w:pStyle w:val="ListBullet"/>
        <w:spacing w:after="80" w:line="276" w:lineRule="auto"/>
      </w:pPr>
      <w:r>
        <w:t>Observed teaching across more than 30 classrooms in a single review cycle, recording evidence against the Australian Professional Standards for Teachers and feeding findings into school improvement plans.</w:t>
      </w:r>
    </w:p>
    <w:p>
      <w:pPr>
        <w:pStyle w:val="ListBullet"/>
        <w:spacing w:after="80" w:line="276" w:lineRule="auto"/>
      </w:pPr>
      <w:r>
        <w:t>Analysed NAPLAN and internal assessment data in Excel to test whether a provider's reported outcomes matched the underlying cohort data, and documented the gaps for the review panel.</w:t>
      </w:r>
    </w:p>
    <w:p>
      <w:pPr>
        <w:pStyle w:val="ListBullet"/>
        <w:spacing w:after="80" w:line="276" w:lineRule="auto"/>
      </w:pPr>
      <w:r>
        <w:t>Ran focus groups with staff and students using Qualtrics and coded the responses in NVivo, which gave the written findings a student voice rather than a purely documentary basis.</w:t>
      </w:r>
    </w:p>
    <w:p>
      <w:pPr>
        <w:pStyle w:val="ListBullet"/>
        <w:spacing w:after="80" w:line="276" w:lineRule="auto"/>
      </w:pPr>
      <w:r>
        <w:t>Briefed principals and chief executives on draft findings before final reports were issued, reducing the number of recommendations disputed and sent back for revision.</w:t>
      </w:r>
    </w:p>
    <w:p>
      <w:pPr>
        <w:pStyle w:val="ListBullet"/>
        <w:spacing w:after="240" w:line="276" w:lineRule="auto"/>
      </w:pPr>
      <w:r>
        <w:t>Advised providers on accreditation and continuous improvement, including coaching two organisations through the evidence requirements for their first full quality review.</w:t>
      </w:r>
    </w:p>
    <w:p>
      <w:pPr>
        <w:spacing w:before="280" w:after="120"/>
        <w:jc w:val="left"/>
        <w:pBdr>
          <w:bottom w:val="single" w:sz="6" w:space="4" w:color="DFDED8"/>
        </w:pBdr>
      </w:pPr>
      <w:r>
        <w:rPr>
          <w:b/>
          <w:color w:val="2F62D9"/>
          <w:sz w:val="22"/>
        </w:rPr>
        <w:t>EDUCATION</w:t>
      </w:r>
    </w:p>
    <w:p>
      <w:pPr>
        <w:spacing w:before="0" w:after="200"/>
        <w:jc w:val="left"/>
      </w:pPr>
      <w:r>
        <w:t>A teaching degree or Bachelor of Education plus a postgraduate qualification in education, assessment or public policy (a Master of Education is common), with current registration through the relevant state or territory teacher authority and demonstrated experience in schools, RTOs or higher education.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