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Educational Psychologist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psychologist with endorsement in educational and developmental psychology, working across school and community settings to assess learning, behaviour and development. Experienced in cognitive and academic assessment, psychoeducational reporting, and collaborative planning with teachers and families. Focused on evidence-based practice that helps students access the right supports at the right time.</w:t>
      </w:r>
    </w:p>
    <w:p>
      <w:pPr>
        <w:spacing w:before="280" w:after="120"/>
        <w:jc w:val="left"/>
        <w:pBdr>
          <w:bottom w:val="single" w:sz="6" w:space="4" w:color="DFDED8"/>
        </w:pBdr>
      </w:pPr>
      <w:r>
        <w:rPr>
          <w:b/>
          <w:color w:val="2F62D9"/>
          <w:sz w:val="22"/>
        </w:rPr>
        <w:t>KEY SKILLS</w:t>
      </w:r>
    </w:p>
    <w:p>
      <w:pPr>
        <w:spacing w:before="0" w:after="200"/>
        <w:jc w:val="left"/>
      </w:pPr>
      <w:r>
        <w:t>Student assessment and reporting   •   Counselling and support work   •   Casework and client support   •   WISC-V   •   WIAT-III   •   Conners 4   •   BASC-3   •   Q-interactive   •   Empathy and interpersonal care   •   Written communication   •   Attention to detail   •   Problem solving   •   Psychoeducational report writing   •   Learning support plan development   •   Teacher and family consultation   •   Crisis response and wellbeing support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Educational Psychologist</w:t>
      </w:r>
      <w:r>
        <w:t>, [Company Name], [City]</w:t>
      </w:r>
      <w:r>
        <w:rPr>
          <w:i/>
        </w:rPr>
        <w:tab/>
        <w:t>[Month Year] – [Month Year / Present]</w:t>
      </w:r>
    </w:p>
    <w:p>
      <w:pPr>
        <w:pStyle w:val="ListBullet"/>
        <w:spacing w:after="80" w:line="276" w:lineRule="auto"/>
      </w:pPr>
      <w:r>
        <w:t>Assessed students across primary and secondary year levels using WISC-V, WIAT-III, Conners 4 and BASC-3, producing psychoeducational reports that informed individual learning plans and funding applications.</w:t>
      </w:r>
    </w:p>
    <w:p>
      <w:pPr>
        <w:pStyle w:val="ListBullet"/>
        <w:spacing w:after="80" w:line="276" w:lineRule="auto"/>
      </w:pPr>
      <w:r>
        <w:t>Consulted with teachers, families and allied health staff to translate assessment findings into classroom adjustments, lowering the need for repeated meetings and helping students stay engaged in class.</w:t>
      </w:r>
    </w:p>
    <w:p>
      <w:pPr>
        <w:pStyle w:val="ListBullet"/>
        <w:spacing w:after="80" w:line="276" w:lineRule="auto"/>
      </w:pPr>
      <w:r>
        <w:t>Delivered small-group interventions focused on executive function and social skills, monitoring progress through pre and post measures and sharing outcomes with families and year coordinators.</w:t>
      </w:r>
    </w:p>
    <w:p>
      <w:pPr>
        <w:pStyle w:val="ListBullet"/>
        <w:spacing w:after="80" w:line="276" w:lineRule="auto"/>
      </w:pPr>
      <w:r>
        <w:t>Lowered report turnaround from three weeks to ten days by using Q-interactive scoring and a structured reporting template, while keeping reports detailed enough for funding panels and teachers.</w:t>
      </w:r>
    </w:p>
    <w:p>
      <w:pPr>
        <w:pStyle w:val="ListBullet"/>
        <w:spacing w:after="80" w:line="276" w:lineRule="auto"/>
      </w:pPr>
      <w:r>
        <w:t>Provided crisis response and wellbeing support within a school setting, coordinating with year coordinators and external services to keep students connected to learning after critical incidents.</w:t>
      </w:r>
    </w:p>
    <w:p>
      <w:pPr>
        <w:pStyle w:val="ListBullet"/>
        <w:spacing w:after="240" w:line="276" w:lineRule="auto"/>
      </w:pPr>
      <w:r>
        <w:t>Maintained case notes and assessment records in line with Australian Psychological Society ethical guidelines and privacy requirements, ensuring accurate handover between school terms.</w:t>
      </w:r>
    </w:p>
    <w:p>
      <w:pPr>
        <w:spacing w:before="280" w:after="120"/>
        <w:jc w:val="left"/>
        <w:pBdr>
          <w:bottom w:val="single" w:sz="6" w:space="4" w:color="DFDED8"/>
        </w:pBdr>
      </w:pPr>
      <w:r>
        <w:rPr>
          <w:b/>
          <w:color w:val="2F62D9"/>
          <w:sz w:val="22"/>
        </w:rPr>
        <w:t>EDUCATION</w:t>
      </w:r>
    </w:p>
    <w:p>
      <w:pPr>
        <w:spacing w:before="0" w:after="200"/>
        <w:jc w:val="left"/>
      </w:pPr>
      <w:r>
        <w:t>Postgraduate qualification in psychology, such as a Master of Educational and Developmental Psychology or Doctor of Psychology (Educational and Developmental), following a four-year accredited psychology degree. Registration with the Psychology Board of Australia and endorsement in educational and developmental psychology require supervised practice and continuing professional development.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