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Endocrinologist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specialist endocrinologist registered with AHPRA and a Fellow of the Royal Australasian College of Physicians. My clinical practice focuses on the management of diabetes, thyroid disorders, osteoporosis and other endocrine conditions across outpatient and inpatient settings. I am committed to evidence-based care and to supervising and teaching the next generation of physicians.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of endocrine disorders   •   Medication management including insulin and hormone replacement   •   Care planning and coordination with multidisciplinary teams   •   Patient care and support for chronic conditions   •   Health education and advice for self-management   •   Epic Hyperspace   •   Cerner Millennium   •   Dexcom Clarity   •   Medtronic CareLink   •   Glooko   •   Written communication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Endocrinologist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weekly diabetes technology clinic, reviewing continuous glucose monitoring and insulin pump data for over 100 patients, and adjusted treatment plans to improve glycaemic control and reduce hypoglycaemic events.</w:t>
      </w:r>
    </w:p>
    <w:p>
      <w:pPr>
        <w:pStyle w:val="ListBullet"/>
        <w:spacing w:after="80" w:line="276" w:lineRule="auto"/>
      </w:pPr>
      <w:r>
        <w:t>Conducted comprehensive endocrine assessments for inpatients and outpatients, integrating pathology, imaging and dynamic hormone test results to inform diagnosis and management.</w:t>
      </w:r>
    </w:p>
    <w:p>
      <w:pPr>
        <w:pStyle w:val="ListBullet"/>
        <w:spacing w:after="80" w:line="276" w:lineRule="auto"/>
      </w:pPr>
      <w:r>
        <w:t>Developed individualised care plans for patients with complex diabetes, coordinating with diabetes educators and dietitians to support self-management and reduce hospital admissions.</w:t>
      </w:r>
    </w:p>
    <w:p>
      <w:pPr>
        <w:pStyle w:val="ListBullet"/>
        <w:spacing w:after="80" w:line="276" w:lineRule="auto"/>
      </w:pPr>
      <w:r>
        <w:t>Supervised and taught endocrinology registrars in outpatient clinics, providing feedback on clinical reasoning and management decisions.</w:t>
      </w:r>
    </w:p>
    <w:p>
      <w:pPr>
        <w:pStyle w:val="ListBullet"/>
        <w:spacing w:after="240" w:line="276" w:lineRule="auto"/>
      </w:pPr>
      <w:r>
        <w:t>Contributed to clinical governance activities, including audit of thyroid nodule management and development of local guidelines.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Medical degree, internship and residency, followed by advanced training in endocrinology through the Royal Australasian College of Physicians (RACP), leading to Fellowship (FRACP) and specialist registration with AHPRA.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