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English Language Teacher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 am an English Language Teacher with classroom experience across adult migrant, international student and community programs. I plan and deliver lessons that build speaking, listening, reading and writing skills for people using English as an additional language, and I assess progress against recognised frameworks. I work confidently in face to face and online delivery modes.</w:t>
      </w:r>
    </w:p>
    <w:p>
      <w:pPr>
        <w:spacing w:before="280" w:after="120"/>
        <w:jc w:val="left"/>
        <w:pBdr>
          <w:bottom w:val="single" w:sz="6" w:space="4" w:color="DFDED8"/>
        </w:pBdr>
      </w:pPr>
      <w:r>
        <w:rPr>
          <w:b/>
          <w:color w:val="2F62D9"/>
          <w:sz w:val="22"/>
        </w:rPr>
        <w:t>KEY SKILLS</w:t>
      </w:r>
    </w:p>
    <w:p>
      <w:pPr>
        <w:spacing w:before="0" w:after="200"/>
        <w:jc w:val="left"/>
      </w:pPr>
      <w:r>
        <w:t>Teaching and instruction   •   Curriculum and lesson design   •   Classroom and behaviour management   •   Student assessment and reporting   •   Pastoral care and wellbeing   •   Moodle   •   Canvas LMS   •   Zoom   •   Google Classroom   •   Microsoft Teams   •   Written communication   •   Digital literacy   •   Lesson planning for mixed ability groups   •   Australian Core Skills Framework</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English Language Teacher</w:t>
      </w:r>
      <w:r>
        <w:t>, [Company Name], [City]</w:t>
      </w:r>
      <w:r>
        <w:rPr>
          <w:i/>
        </w:rPr>
        <w:tab/>
        <w:t>[Month Year] – [Month Year / Present]</w:t>
      </w:r>
    </w:p>
    <w:p>
      <w:pPr>
        <w:pStyle w:val="ListBullet"/>
        <w:spacing w:after="80" w:line="276" w:lineRule="auto"/>
      </w:pPr>
      <w:r>
        <w:t>Planned and delivered mixed ability English lessons to classes of up to 18 adult learners, adjusting materials so beginners and intermediate students could work on the same theme.</w:t>
      </w:r>
    </w:p>
    <w:p>
      <w:pPr>
        <w:pStyle w:val="ListBullet"/>
        <w:spacing w:after="80" w:line="276" w:lineRule="auto"/>
      </w:pPr>
      <w:r>
        <w:t>Assessed speaking, listening, reading and writing using tasks aligned to the Australian Core Skills Framework, and reported progress to students and program coordinators.</w:t>
      </w:r>
    </w:p>
    <w:p>
      <w:pPr>
        <w:pStyle w:val="ListBullet"/>
        <w:spacing w:after="80" w:line="276" w:lineRule="auto"/>
      </w:pPr>
      <w:r>
        <w:t>Built customised resources on Moodle and Google Classroom so students could practise pronunciation and vocabulary between face to face sessions.</w:t>
      </w:r>
    </w:p>
    <w:p>
      <w:pPr>
        <w:pStyle w:val="ListBullet"/>
        <w:spacing w:after="80" w:line="276" w:lineRule="auto"/>
      </w:pPr>
      <w:r>
        <w:t>Supported students from refugee and migrant backgrounds with referrals to pastoral care and settlement services when personal issues started affecting attendance.</w:t>
      </w:r>
    </w:p>
    <w:p>
      <w:pPr>
        <w:pStyle w:val="ListBullet"/>
        <w:spacing w:after="80" w:line="276" w:lineRule="auto"/>
      </w:pPr>
      <w:r>
        <w:t>Ran conversation groups that helped international students improve fluency and confidence for workplace placements and further study.</w:t>
      </w:r>
    </w:p>
    <w:p>
      <w:pPr>
        <w:pStyle w:val="ListBullet"/>
        <w:spacing w:after="240" w:line="276" w:lineRule="auto"/>
      </w:pPr>
      <w:r>
        <w:t>Maintained a calm, inclusive classroom where students from different first languages felt able to take risks with spoken English.</w:t>
      </w:r>
    </w:p>
    <w:p>
      <w:pPr>
        <w:spacing w:before="280" w:after="120"/>
        <w:jc w:val="left"/>
        <w:pBdr>
          <w:bottom w:val="single" w:sz="6" w:space="4" w:color="DFDED8"/>
        </w:pBdr>
      </w:pPr>
      <w:r>
        <w:rPr>
          <w:b/>
          <w:color w:val="2F62D9"/>
          <w:sz w:val="22"/>
        </w:rPr>
        <w:t>EDUCATION</w:t>
      </w:r>
    </w:p>
    <w:p>
      <w:pPr>
        <w:spacing w:before="0" w:after="200"/>
        <w:jc w:val="left"/>
      </w:pPr>
      <w:r>
        <w:t>A bachelor degree plus a recognised TESOL qualification, such as a Graduate Diploma of TESOL, a Certificate IV in TESOL or CELTA for ELICOS settings, is the usual entry path. Postgraduate study in TESOL or applied linguistics is common for teachers moving into senior or coordination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