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Ear, Nose and Throat Surgeon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Ear, Nose and Throat Surgeon with fellowship training through the Royal Australasian College of Surgeons, providing comprehensive care for conditions of the ear, nose, throat, head and neck. Skilled in endoscopic and microscopic surgery, emergency airway management, and multidisciplinary collaboration. Committed to delivering high-quality patient outcomes in both public and private hospital settings.</w:t>
      </w:r>
    </w:p>
    <w:p>
      <w:pPr>
        <w:spacing w:before="280" w:after="120"/>
        <w:jc w:val="left"/>
        <w:pBdr>
          <w:bottom w:val="single" w:sz="6" w:space="4" w:color="DFDED8"/>
        </w:pBdr>
      </w:pPr>
      <w:r>
        <w:rPr>
          <w:b/>
          <w:color w:val="2F62D9"/>
          <w:sz w:val="22"/>
        </w:rPr>
        <w:t>KEY SKILLS</w:t>
      </w:r>
    </w:p>
    <w:p>
      <w:pPr>
        <w:spacing w:before="0" w:after="200"/>
        <w:jc w:val="left"/>
      </w:pPr>
      <w:r>
        <w:t>Patient care and support   •   Clinical assessment and treatment   •   Infection control and hygiene   •   Endoscopes   •   Operating microscopes   •   Surgical navigation systems   •   Electronic medical records (Epic, Cerner)   •   PACS imaging software   •   Written communication   •   Problem solving   •   Attention to detail   •   Time and deadline management   •   People leadership</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Ear, Nose and Throat Surgeon</w:t>
      </w:r>
      <w:r>
        <w:t>, [Company Name], [City]</w:t>
      </w:r>
      <w:r>
        <w:rPr>
          <w:i/>
        </w:rPr>
        <w:tab/>
        <w:t>[Month Year] – [Month Year / Present]</w:t>
      </w:r>
    </w:p>
    <w:p>
      <w:pPr>
        <w:pStyle w:val="ListBullet"/>
        <w:spacing w:after="80" w:line="276" w:lineRule="auto"/>
      </w:pPr>
      <w:r>
        <w:t>Performed over 300 elective and emergency ENT procedures annually, including tonsillectomy, septoplasty, sinus surgery and cochlear implantation, with a focus on minimal complications.</w:t>
      </w:r>
    </w:p>
    <w:p>
      <w:pPr>
        <w:pStyle w:val="ListBullet"/>
        <w:spacing w:after="80" w:line="276" w:lineRule="auto"/>
      </w:pPr>
      <w:r>
        <w:t>Managed acute presentations such as airway obstruction, epistaxis and foreign body removal, coordinating rapid assessment and intervention in a tertiary hospital setting.</w:t>
      </w:r>
    </w:p>
    <w:p>
      <w:pPr>
        <w:pStyle w:val="ListBullet"/>
        <w:spacing w:after="80" w:line="276" w:lineRule="auto"/>
      </w:pPr>
      <w:r>
        <w:t>Interpreted audiological, vestibular and imaging investigations to inform surgical planning and treatment pathways.</w:t>
      </w:r>
    </w:p>
    <w:p>
      <w:pPr>
        <w:pStyle w:val="ListBullet"/>
        <w:spacing w:after="80" w:line="276" w:lineRule="auto"/>
      </w:pPr>
      <w:r>
        <w:t>Provided postoperative care and coordinated multidisciplinary follow-up with speech pathology, oncology and allied health, improving continuity for complex head and neck patients.</w:t>
      </w:r>
    </w:p>
    <w:p>
      <w:pPr>
        <w:pStyle w:val="ListBullet"/>
        <w:spacing w:after="240" w:line="276" w:lineRule="auto"/>
      </w:pPr>
      <w:r>
        <w:t>Supervised and mentored junior medical officers and registrars, contributing to their clinical development and procedural skills.</w:t>
      </w:r>
    </w:p>
    <w:p>
      <w:pPr>
        <w:spacing w:before="280" w:after="120"/>
        <w:jc w:val="left"/>
        <w:pBdr>
          <w:bottom w:val="single" w:sz="6" w:space="4" w:color="DFDED8"/>
        </w:pBdr>
      </w:pPr>
      <w:r>
        <w:rPr>
          <w:b/>
          <w:color w:val="2F62D9"/>
          <w:sz w:val="22"/>
        </w:rPr>
        <w:t>EDUCATION</w:t>
      </w:r>
    </w:p>
    <w:p>
      <w:pPr>
        <w:spacing w:before="0" w:after="200"/>
        <w:jc w:val="left"/>
      </w:pPr>
      <w:r>
        <w:t>Bachelor of Medicine, Bachelor of Surgery (MBBS) or Doctor of Medicine (MD), followed by internship and completion of the Royal Australasian College of Surgeons (RACS) Otolaryngology Head and Neck Surgery training program, leading to Fellowship of the Royal Australasian College of Surgeons (FRACS).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