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Environmental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Environmental Manager with a background in environmental science and regulatory compliance across mining, construction and utilities operations. Experienced in running environmental management systems, coordinating statutory approvals and reporting performance to regulators and executives. Known for translating licence conditions into practical site controls that operations teams can actually follow.</w:t>
      </w:r>
    </w:p>
    <w:p>
      <w:pPr>
        <w:spacing w:before="280" w:after="120"/>
        <w:jc w:val="left"/>
        <w:pBdr>
          <w:bottom w:val="single" w:sz="6" w:space="4" w:color="DFDED8"/>
        </w:pBdr>
      </w:pPr>
      <w:r>
        <w:rPr>
          <w:b/>
          <w:color w:val="2F62D9"/>
          <w:sz w:val="22"/>
        </w:rPr>
        <w:t>KEY SKILLS</w:t>
      </w:r>
    </w:p>
    <w:p>
      <w:pPr>
        <w:spacing w:before="0" w:after="200"/>
        <w:jc w:val="left"/>
      </w:pPr>
      <w:r>
        <w:t>Environmental management systems (ISO 14001)   •   Regulatory compliance and licence condition management   •   Environmental impact assessment and statutory approvals   •   Site rehabilitation and pollution control programs   •   Waste and water management planning   •   Environmental risk and internal controls   •   Incident investigation and corrective action tracking   •   ArcGIS Pro   •   QGIS   •   Microsoft Excel   •   Enablon   •   SAP EHS   •   Stakeholder management   •   People leadership   •   Written communication and regulator reporting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Environmental Manager</w:t>
      </w:r>
      <w:r>
        <w:t>, [Company Name], [City]</w:t>
      </w:r>
      <w:r>
        <w:rPr>
          <w:i/>
        </w:rPr>
        <w:tab/>
        <w:t>[Month Year] – [Month Year / Present]</w:t>
      </w:r>
    </w:p>
    <w:p>
      <w:pPr>
        <w:pStyle w:val="ListBullet"/>
        <w:spacing w:after="80" w:line="276" w:lineRule="auto"/>
      </w:pPr>
      <w:r>
        <w:t>Ran the site environmental management system across a multi-pit operation, aligning procedures with ISO 14001 and state licence conditions so that audits moved from corrective-heavy to largely conformant.</w:t>
      </w:r>
    </w:p>
    <w:p>
      <w:pPr>
        <w:pStyle w:val="ListBullet"/>
        <w:spacing w:after="80" w:line="276" w:lineRule="auto"/>
      </w:pPr>
      <w:r>
        <w:t>Coordinated environmental impact assessments and approval documentation for a major expansion, keeping the referral package on schedule through repeated regulator clarification rounds.</w:t>
      </w:r>
    </w:p>
    <w:p>
      <w:pPr>
        <w:pStyle w:val="ListBullet"/>
        <w:spacing w:after="80" w:line="276" w:lineRule="auto"/>
      </w:pPr>
      <w:r>
        <w:t>Led a rehabilitation program covering several hundred hectares of previously disturbed ground, sequencing earthworks, topsoil return and revegetation monitoring into the annual site plan.</w:t>
      </w:r>
    </w:p>
    <w:p>
      <w:pPr>
        <w:pStyle w:val="ListBullet"/>
        <w:spacing w:after="80" w:line="276" w:lineRule="auto"/>
      </w:pPr>
      <w:r>
        <w:t>Reduced reportable environmental incidents across the site by tightening hydrocarbon storage controls and running toolbox sessions with operational crews.</w:t>
      </w:r>
    </w:p>
    <w:p>
      <w:pPr>
        <w:pStyle w:val="ListBullet"/>
        <w:spacing w:after="80" w:line="276" w:lineRule="auto"/>
      </w:pPr>
      <w:r>
        <w:t>Built the monthly environmental performance report for the executive and the regulator, consolidating monitoring data from Enablon and SAP EHS into a single compliance picture.</w:t>
      </w:r>
    </w:p>
    <w:p>
      <w:pPr>
        <w:pStyle w:val="ListBullet"/>
        <w:spacing w:after="80" w:line="276" w:lineRule="auto"/>
      </w:pPr>
      <w:r>
        <w:t>Managed a team of environmental officers and contractors, setting monitoring schedules, reviewing field data quality and mentoring graduates through their first compliance inspections.</w:t>
      </w:r>
    </w:p>
    <w:p>
      <w:pPr>
        <w:pStyle w:val="ListBullet"/>
        <w:spacing w:after="240" w:line="276" w:lineRule="auto"/>
      </w:pPr>
      <w:r>
        <w:t>Represented the organisation in community consultation sessions on dust, noise and water discharges, turning recurring complaints into a revised monitoring and communication approach.</w:t>
      </w:r>
    </w:p>
    <w:p>
      <w:pPr>
        <w:spacing w:before="280" w:after="120"/>
        <w:jc w:val="left"/>
        <w:pBdr>
          <w:bottom w:val="single" w:sz="6" w:space="4" w:color="DFDED8"/>
        </w:pBdr>
      </w:pPr>
      <w:r>
        <w:rPr>
          <w:b/>
          <w:color w:val="2F62D9"/>
          <w:sz w:val="22"/>
        </w:rPr>
        <w:t>EDUCATION</w:t>
      </w:r>
    </w:p>
    <w:p>
      <w:pPr>
        <w:spacing w:before="0" w:after="200"/>
        <w:jc w:val="left"/>
      </w:pPr>
      <w:r>
        <w:t>Bachelor degree in environmental science, environmental engineering or a related field, with many managers also holding a postgraduate qualification in environmental management or law.</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