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Equities Trader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Equities trader with a strong background in financial analysis, risk management and real-time market execution across ASX-listed securities. Skilled at using Bloomberg, Reuters and trading platforms to identify opportunities and manage exposure within strict internal controls. Known for remaining calm under pressure and communicating trade rationale clearly to portfolio managers and clients.</w:t>
      </w:r>
    </w:p>
    <w:p>
      <w:pPr>
        <w:spacing w:before="280" w:after="120"/>
        <w:jc w:val="left"/>
        <w:pBdr>
          <w:bottom w:val="single" w:sz="6" w:space="4" w:color="DFDED8"/>
        </w:pBdr>
      </w:pPr>
      <w:r>
        <w:rPr>
          <w:b/>
          <w:color w:val="2F62D9"/>
          <w:sz w:val="22"/>
        </w:rPr>
        <w:t>KEY SKILLS</w:t>
      </w:r>
    </w:p>
    <w:p>
      <w:pPr>
        <w:spacing w:before="0" w:after="200"/>
        <w:jc w:val="left"/>
      </w:pPr>
      <w:r>
        <w:t>ASX equities execution   •   Financial analysis and modelling   •   Data analysis   •   Risk and internal controls   •   Bloomberg Terminal   •   Reuters Eikon   •   Trading platforms (Interactive Brokers, TD Ameritrade)   •   Excel and Python   •   Trade reconciliation and CHESS settlement   •   Best execution and market integrity rules   •   Problem solving   •   Written communication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Equities Trader</w:t>
      </w:r>
      <w:r>
        <w:t>, [Company Name], [City]</w:t>
      </w:r>
      <w:r>
        <w:rPr>
          <w:i/>
        </w:rPr>
        <w:tab/>
        <w:t>[Month Year] – [Month Year / Present]</w:t>
      </w:r>
    </w:p>
    <w:p>
      <w:pPr>
        <w:pStyle w:val="ListBullet"/>
        <w:spacing w:after="80" w:line="276" w:lineRule="auto"/>
      </w:pPr>
      <w:r>
        <w:t>Monitored live equity markets and price movements across ASX and international exchanges to identify trading opportunities and inform position adjustments.</w:t>
      </w:r>
    </w:p>
    <w:p>
      <w:pPr>
        <w:pStyle w:val="ListBullet"/>
        <w:spacing w:after="80" w:line="276" w:lineRule="auto"/>
      </w:pPr>
      <w:r>
        <w:t>Executed buy and sell orders for institutional clients, ensuring compliance with best execution and market integrity rules.</w:t>
      </w:r>
    </w:p>
    <w:p>
      <w:pPr>
        <w:pStyle w:val="ListBullet"/>
        <w:spacing w:after="80" w:line="276" w:lineRule="auto"/>
      </w:pPr>
      <w:r>
        <w:t>Analysed financial statements, economic indicators and company announcements to support trade decisions and risk assessments.</w:t>
      </w:r>
    </w:p>
    <w:p>
      <w:pPr>
        <w:pStyle w:val="ListBullet"/>
        <w:spacing w:after="80" w:line="276" w:lineRule="auto"/>
      </w:pPr>
      <w:r>
        <w:t>Managed trade positions and monitored exposure, applying stop-loss and hedging strategies to control downside risk.</w:t>
      </w:r>
    </w:p>
    <w:p>
      <w:pPr>
        <w:pStyle w:val="ListBullet"/>
        <w:spacing w:after="240" w:line="276" w:lineRule="auto"/>
      </w:pPr>
      <w:r>
        <w:t>Reconciled trades and reviewed settlement documentation, resolving discrepancies with back-office teams to ensure timely CHESS settlement.</w:t>
      </w:r>
    </w:p>
    <w:p>
      <w:pPr>
        <w:spacing w:before="280" w:after="120"/>
        <w:jc w:val="left"/>
        <w:pBdr>
          <w:bottom w:val="single" w:sz="6" w:space="4" w:color="DFDED8"/>
        </w:pBdr>
      </w:pPr>
      <w:r>
        <w:rPr>
          <w:b/>
          <w:color w:val="2F62D9"/>
          <w:sz w:val="22"/>
        </w:rPr>
        <w:t>EDUCATION</w:t>
      </w:r>
    </w:p>
    <w:p>
      <w:pPr>
        <w:spacing w:before="0" w:after="200"/>
        <w:jc w:val="left"/>
      </w:pPr>
      <w:r>
        <w:t>Bachelor degree in finance, economics, commerce or a related field; many traders also hold a postgraduate qualification such as a Master of Finance or the CFA Program.</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