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Family Violence Practitioner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Family Violence Practitioner with experience in risk assessment, safety planning and crisis support for adults and children affected by family violence. Skilled in applying the MARAM framework, coordinating with police, courts, housing and child protection, and maintaining accurate case records. Committed to trauma informed practice and client centred advocacy.</w:t>
      </w:r>
    </w:p>
    <w:p>
      <w:pPr>
        <w:spacing w:before="280" w:after="120"/>
        <w:jc w:val="left"/>
        <w:pBdr>
          <w:bottom w:val="single" w:sz="6" w:space="4" w:color="DFDED8"/>
        </w:pBdr>
      </w:pPr>
      <w:r>
        <w:rPr>
          <w:b/>
          <w:color w:val="2F62D9"/>
          <w:sz w:val="22"/>
        </w:rPr>
        <w:t>KEY SKILLS</w:t>
      </w:r>
    </w:p>
    <w:p>
      <w:pPr>
        <w:spacing w:before="0" w:after="200"/>
        <w:jc w:val="left"/>
      </w:pPr>
      <w:r>
        <w:t>Family violence risk assessment using MARAM   •   Safety planning and crisis response   •   Case management and client support   •   Trauma informed counselling   •   Advocacy with police, courts, housing and child protection   •   Mandatory reporting and regulatory compliance   •   Client management systems (CIMS, CRIS, SAVVI)   •   Stakeholder management and community engagement   •   Written communication and case notes   •   Microsoft Office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Family Violence Practitioner</w:t>
      </w:r>
      <w:r>
        <w:t>, [Company Name], [City]</w:t>
      </w:r>
      <w:r>
        <w:rPr>
          <w:i/>
        </w:rPr>
        <w:tab/>
        <w:t>[Month Year] – [Month Year / Present]</w:t>
      </w:r>
    </w:p>
    <w:p>
      <w:pPr>
        <w:pStyle w:val="ListBullet"/>
        <w:spacing w:after="80" w:line="276" w:lineRule="auto"/>
      </w:pPr>
      <w:r>
        <w:t>Conducted family violence risk assessments for a caseload of 25 clients, using MARAM to identify immediate safety needs and prioritise referrals.</w:t>
      </w:r>
    </w:p>
    <w:p>
      <w:pPr>
        <w:pStyle w:val="ListBullet"/>
        <w:spacing w:after="80" w:line="276" w:lineRule="auto"/>
      </w:pPr>
      <w:r>
        <w:t>Developed and reviewed safety plans with clients, reducing repeat crisis presentations by coordinating housing and police referrals across a 12 month period.</w:t>
      </w:r>
    </w:p>
    <w:p>
      <w:pPr>
        <w:pStyle w:val="ListBullet"/>
        <w:spacing w:after="80" w:line="276" w:lineRule="auto"/>
      </w:pPr>
      <w:r>
        <w:t>Advocated for clients in court and with child protection, securing intervention order variations and child contact arrangements that reflected assessed risk.</w:t>
      </w:r>
    </w:p>
    <w:p>
      <w:pPr>
        <w:pStyle w:val="ListBullet"/>
        <w:spacing w:after="80" w:line="276" w:lineRule="auto"/>
      </w:pPr>
      <w:r>
        <w:t>Maintained accurate case notes in CIMS and SAVVI, passing internal audits with no compliance issues across a 40 case file review.</w:t>
      </w:r>
    </w:p>
    <w:p>
      <w:pPr>
        <w:pStyle w:val="ListBullet"/>
        <w:spacing w:after="240" w:line="276" w:lineRule="auto"/>
      </w:pPr>
      <w:r>
        <w:t>Provided crisis counselling and referrals for families, with several clients moving from emergency accommodation to stable housing within three months.</w:t>
      </w:r>
    </w:p>
    <w:p>
      <w:pPr>
        <w:spacing w:before="280" w:after="120"/>
        <w:jc w:val="left"/>
        <w:pBdr>
          <w:bottom w:val="single" w:sz="6" w:space="4" w:color="DFDED8"/>
        </w:pBdr>
      </w:pPr>
      <w:r>
        <w:rPr>
          <w:b/>
          <w:color w:val="2F62D9"/>
          <w:sz w:val="22"/>
        </w:rPr>
        <w:t>EDUCATION</w:t>
      </w:r>
    </w:p>
    <w:p>
      <w:pPr>
        <w:spacing w:before="0" w:after="200"/>
        <w:jc w:val="left"/>
      </w:pPr>
      <w:r>
        <w:t>A bachelor degree in social work, psychology, counselling or a related social science is the most common entry point, with many practitioners holding a postgraduate qualification; diploma level qualifications are also recognised alongside sector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