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Financial Counsellor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Financial Counsellor with a background in budget analysis, debt negotiation and client education, working with people facing financial hardship. Comfortable managing a caseload across community, government or non-profit settings, and skilled at keeping conversations practical and non-judgmental even when clients are under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Budgeting and forecasting   •   Financial analysis and modelling   •   Regulatory compliance   •   Debt negotiation with creditors   •   Case management systems   •   Microsoft Excel   •   Client relationships and advisory   •   Written communication   •   Empathy and interpersonal care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Financial Counsellor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 financial situations through detailed budget analysis and debt reviews, identifying realistic repayment options for people in hardship</w:t>
      </w:r>
    </w:p>
    <w:p>
      <w:pPr>
        <w:pStyle w:val="ListBullet"/>
        <w:spacing w:after="80" w:line="276" w:lineRule="auto"/>
      </w:pPr>
      <w:r>
        <w:t>Negotiated with creditors and utility providers on behalf of clients, securing hardship arrangements and revised repayment terms</w:t>
      </w:r>
    </w:p>
    <w:p>
      <w:pPr>
        <w:pStyle w:val="ListBullet"/>
        <w:spacing w:after="80" w:line="276" w:lineRule="auto"/>
      </w:pPr>
      <w:r>
        <w:t>Delivered one-on-one and group education sessions on budgeting, saving and responsible credit use, helping clients build longer-term financial habits</w:t>
      </w:r>
    </w:p>
    <w:p>
      <w:pPr>
        <w:pStyle w:val="ListBullet"/>
        <w:spacing w:after="80" w:line="276" w:lineRule="auto"/>
      </w:pPr>
      <w:r>
        <w:t>Documented client progress and financial counselling plans in case management systems, meeting legal and welfare reporting requirements</w:t>
      </w:r>
    </w:p>
    <w:p>
      <w:pPr>
        <w:pStyle w:val="ListBullet"/>
        <w:spacing w:after="240" w:line="276" w:lineRule="auto"/>
      </w:pPr>
      <w:r>
        <w:t>Referred clients to legal aid, hardship schemes and mental health services, coordinating support across agencies to address issues beyond the scope of financial counselling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Community Services (Financial Counselling) or a Bachelor degree in social work, community services or finance, combined with accreditation through Financial Counselling Australia and membership of the relevant state or territory financial counselling association.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