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Fire Safety Engineer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Fire Safety Engineer with a construction and built-environment background, focused on performance-based design and code compliance. Experienced in producing fire engineering reports, smoke and evacuation modelling, and documentation that satisfies approval authorities and clients. Works collaboratively with architects, builders and regulators to keep fire safety outcomes practical and defensible.</w:t>
      </w:r>
    </w:p>
    <w:p>
      <w:pPr>
        <w:spacing w:before="280" w:after="120"/>
        <w:jc w:val="left"/>
        <w:pBdr>
          <w:bottom w:val="single" w:sz="6" w:space="4" w:color="DFDED8"/>
        </w:pBdr>
      </w:pPr>
      <w:r>
        <w:rPr>
          <w:b/>
          <w:color w:val="2F62D9"/>
          <w:sz w:val="22"/>
        </w:rPr>
        <w:t>KEY SKILLS</w:t>
      </w:r>
    </w:p>
    <w:p>
      <w:pPr>
        <w:spacing w:before="0" w:after="200"/>
        <w:jc w:val="left"/>
      </w:pPr>
      <w:r>
        <w:t>Fire engineering design and analysis   •   National Construction Code and Australian Standards (including AS 1530 and AS 1668 series)   •   Performance-based fire engineering solutions   •   Fire Dynamics Simulator (FDS) and PyroSim modelling   •   Pathfinder evacuation modelling   •   Revit and AutoCAD documentation   •   Risk assessment and hazard analysis   •   Regulatory compliance and approval documentation   •   Field inspection and testing   •   Project engineering and delivery   •   Technical report writing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Fire Safety Engineer</w:t>
      </w:r>
      <w:r>
        <w:t>, [Company Name], [City]</w:t>
      </w:r>
      <w:r>
        <w:rPr>
          <w:i/>
        </w:rPr>
        <w:tab/>
        <w:t>[Month Year] – [Month Year / Present]</w:t>
      </w:r>
    </w:p>
    <w:p>
      <w:pPr>
        <w:pStyle w:val="ListBullet"/>
        <w:spacing w:after="80" w:line="276" w:lineRule="auto"/>
      </w:pPr>
      <w:r>
        <w:t>Assessed building designs against the National Construction Code and related Australian Standards, identifying compliance gaps early enough to avoid costly rework during construction documentation.</w:t>
      </w:r>
    </w:p>
    <w:p>
      <w:pPr>
        <w:pStyle w:val="ListBullet"/>
        <w:spacing w:after="80" w:line="276" w:lineRule="auto"/>
      </w:pPr>
      <w:r>
        <w:t>Developed performance-based fire engineering solutions for mixed-use and commercial projects, presenting reasoned alternatives to deemed-to-satisfy provisions for approval authority review.</w:t>
      </w:r>
    </w:p>
    <w:p>
      <w:pPr>
        <w:pStyle w:val="ListBullet"/>
        <w:spacing w:after="80" w:line="276" w:lineRule="auto"/>
      </w:pPr>
      <w:r>
        <w:t>Modelled fire spread, smoke movement and occupant evacuation using FDS, PyroSim and Pathfinder, translating simulation outputs into clear design recommendations.</w:t>
      </w:r>
    </w:p>
    <w:p>
      <w:pPr>
        <w:pStyle w:val="ListBullet"/>
        <w:spacing w:after="80" w:line="276" w:lineRule="auto"/>
      </w:pPr>
      <w:r>
        <w:t>Conducted risk assessments and hazard analyses across occupied and under-construction sites, documenting findings and recommended controls for project teams.</w:t>
      </w:r>
    </w:p>
    <w:p>
      <w:pPr>
        <w:pStyle w:val="ListBullet"/>
        <w:spacing w:after="80" w:line="276" w:lineRule="auto"/>
      </w:pPr>
      <w:r>
        <w:t>Prepared technical reports, fire engineering briefs and documentation for clients, certifiers and approval authorities, keeping submissions on schedule.</w:t>
      </w:r>
    </w:p>
    <w:p>
      <w:pPr>
        <w:pStyle w:val="ListBullet"/>
        <w:spacing w:after="80" w:line="276" w:lineRule="auto"/>
      </w:pPr>
      <w:r>
        <w:t>Coordinated with architects, structural and services engineers to integrate fire protection measures into coordinated Revit models.</w:t>
      </w:r>
    </w:p>
    <w:p>
      <w:pPr>
        <w:pStyle w:val="ListBullet"/>
        <w:spacing w:after="80" w:line="276" w:lineRule="auto"/>
      </w:pPr>
      <w:r>
        <w:t>Carried out field inspections and testing of passive and active fire systems, verifying installed works matched the approved design.</w:t>
      </w:r>
    </w:p>
    <w:p>
      <w:pPr>
        <w:pStyle w:val="ListBullet"/>
        <w:spacing w:after="240" w:line="276" w:lineRule="auto"/>
      </w:pPr>
      <w:r>
        <w:t>Mentored junior engineers and drafters on fire engineering fundamentals, modelling workflows and code interpretation.</w:t>
      </w:r>
    </w:p>
    <w:p>
      <w:pPr>
        <w:spacing w:before="280" w:after="120"/>
        <w:jc w:val="left"/>
        <w:pBdr>
          <w:bottom w:val="single" w:sz="6" w:space="4" w:color="DFDED8"/>
        </w:pBdr>
      </w:pPr>
      <w:r>
        <w:rPr>
          <w:b/>
          <w:color w:val="2F62D9"/>
          <w:sz w:val="22"/>
        </w:rPr>
        <w:t>EDUCATION</w:t>
      </w:r>
    </w:p>
    <w:p>
      <w:pPr>
        <w:spacing w:before="0" w:after="200"/>
        <w:jc w:val="left"/>
      </w:pPr>
      <w:r>
        <w:t>Bachelor degree in engineering (fire, civil, mechanical or structural) accredited by Engineers Australia, with many practitioners adding a postgraduate qualification in fire safety engineering. Registration as a professional engineer with Engineers Australia and, where required, state-based accreditation or registration as a fire safety engineer or certifier.</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