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Firefighter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Firefighter with hands-on experience in emergency response, fire suppression and community safety education. Trained in breathing apparatus use, hydraulic rescue equipment and hazmat procedures, with a strong record of working calmly under pressure in high-stakes incidents. Committed to ongoing operational training and building trust with the community through prevention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Emergency response   •   Worksite safety management   •   Fire hoses and nozzles   •   Breathing apparatus (SCBA)   •   Hydraulic rescue tools   •   Thermal imaging cameras   •   Incident management software   •   Physical stamina and dexterity   •   Attention to detail   •   Problem solving under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Firefighter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Responded to structural fires, vehicle accidents and hazmat incidents, assessing hazard zones and directing initial suppression or rescue action within minutes of arrival</w:t>
      </w:r>
    </w:p>
    <w:p>
      <w:pPr>
        <w:pStyle w:val="ListBullet"/>
        <w:spacing w:after="80" w:line="276" w:lineRule="auto"/>
      </w:pPr>
      <w:r>
        <w:t>Operated fire hoses, ladders, SCBA and hydraulic rescue tools at live incidents, maintaining equipment readiness through daily checks and post-incident servicing</w:t>
      </w:r>
    </w:p>
    <w:p>
      <w:pPr>
        <w:pStyle w:val="ListBullet"/>
        <w:spacing w:after="80" w:line="276" w:lineRule="auto"/>
      </w:pPr>
      <w:r>
        <w:t>Conducted fire prevention inspections of commercial and residential buildings, identifying compliance gaps against relevant building and fire safety codes and advising owners on corrective action</w:t>
      </w:r>
    </w:p>
    <w:p>
      <w:pPr>
        <w:pStyle w:val="ListBullet"/>
        <w:spacing w:after="80" w:line="276" w:lineRule="auto"/>
      </w:pPr>
      <w:r>
        <w:t>Completed structured incident reports and liaised with ambulance, police and dispatch to coordinate multi-agency responses</w:t>
      </w:r>
    </w:p>
    <w:p>
      <w:pPr>
        <w:pStyle w:val="ListBullet"/>
        <w:spacing w:after="240" w:line="276" w:lineRule="auto"/>
      </w:pPr>
      <w:r>
        <w:t>Maintained operational readiness through recurrent training in rescue techniques, first aid and hazmat handling, meeting all mandatory competency requirements each cycle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Public Safety (Firefighting and Emergency Operations) through a state or territory fire authority's recruit training program, typically following Year 12 completion; some progress to a Certificate IV in Public Safety (Firefighting Supervision), a Diploma of Public Safety (Firefighting Management) or a Bachelor's degree in emergency management for leadership pathways.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